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28C5AE">
      <w:pPr>
        <w:pStyle w:val="15"/>
        <w:spacing w:before="120" w:beforeAutospacing="0" w:after="120" w:afterAutospacing="0" w:line="360" w:lineRule="auto"/>
        <w:rPr>
          <w:color w:val="auto"/>
          <w:highlight w:val="none"/>
        </w:rPr>
      </w:pPr>
    </w:p>
    <w:p w14:paraId="5990E3E0">
      <w:pPr>
        <w:pStyle w:val="15"/>
        <w:spacing w:before="120" w:beforeAutospacing="0" w:after="120" w:afterAutospacing="0" w:line="360" w:lineRule="auto"/>
        <w:rPr>
          <w:color w:val="auto"/>
          <w:highlight w:val="none"/>
        </w:rPr>
      </w:pPr>
      <w:r>
        <w:rPr>
          <w:color w:val="auto"/>
          <w:highlight w:val="none"/>
        </w:rPr>
        <w:t> </w:t>
      </w:r>
    </w:p>
    <w:p w14:paraId="0260B6D8">
      <w:pPr>
        <w:pStyle w:val="15"/>
        <w:spacing w:before="120" w:beforeAutospacing="0" w:after="120" w:afterAutospacing="0" w:line="360" w:lineRule="auto"/>
        <w:jc w:val="center"/>
        <w:rPr>
          <w:color w:val="auto"/>
          <w:highlight w:val="none"/>
        </w:rPr>
      </w:pPr>
      <w:r>
        <w:rPr>
          <w:rFonts w:ascii="Arial" w:hAnsi="Arial" w:cs="Arial"/>
          <w:b/>
          <w:color w:val="auto"/>
          <w:sz w:val="84"/>
          <w:szCs w:val="84"/>
          <w:highlight w:val="none"/>
        </w:rPr>
        <w:t>竞争性磋商文件</w:t>
      </w:r>
    </w:p>
    <w:p w14:paraId="4AF88C73">
      <w:pPr>
        <w:pStyle w:val="15"/>
        <w:spacing w:before="120" w:beforeAutospacing="0" w:after="120" w:afterAutospacing="0" w:line="360" w:lineRule="auto"/>
        <w:rPr>
          <w:rFonts w:ascii="Arial" w:hAnsi="Arial" w:cs="Arial"/>
          <w:b/>
          <w:color w:val="auto"/>
          <w:sz w:val="32"/>
          <w:szCs w:val="32"/>
          <w:highlight w:val="none"/>
        </w:rPr>
      </w:pPr>
    </w:p>
    <w:p w14:paraId="1FD7A77B">
      <w:pPr>
        <w:pStyle w:val="15"/>
        <w:spacing w:before="120" w:beforeAutospacing="0" w:after="120" w:afterAutospacing="0" w:line="360" w:lineRule="auto"/>
        <w:rPr>
          <w:rFonts w:ascii="Arial" w:hAnsi="Arial" w:cs="Arial"/>
          <w:b/>
          <w:color w:val="auto"/>
          <w:sz w:val="32"/>
          <w:szCs w:val="32"/>
          <w:highlight w:val="none"/>
        </w:rPr>
      </w:pPr>
    </w:p>
    <w:p w14:paraId="4E526098">
      <w:pPr>
        <w:pStyle w:val="15"/>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val="en-US" w:eastAsia="zh-CN"/>
        </w:rPr>
        <w:t>盐东镇农村公路中次差路段大中修工程</w:t>
      </w:r>
    </w:p>
    <w:p w14:paraId="5BAD00F2">
      <w:pPr>
        <w:pStyle w:val="15"/>
        <w:spacing w:before="120" w:beforeAutospacing="0" w:after="120" w:afterAutospacing="0" w:line="360" w:lineRule="auto"/>
        <w:rPr>
          <w:color w:val="auto"/>
          <w:highlight w:val="none"/>
        </w:rPr>
      </w:pPr>
      <w:r>
        <w:rPr>
          <w:rFonts w:ascii="Arial" w:hAnsi="Arial" w:cs="Arial"/>
          <w:b/>
          <w:color w:val="auto"/>
          <w:sz w:val="32"/>
          <w:szCs w:val="32"/>
          <w:highlight w:val="none"/>
        </w:rPr>
        <w:t>项目编号：JSZC-320902-KYJS-C2026-0001</w:t>
      </w:r>
      <w:r>
        <w:rPr>
          <w:rFonts w:ascii="Times New Roman" w:hAnsi="Times New Roman"/>
          <w:b/>
          <w:color w:val="auto"/>
          <w:sz w:val="30"/>
          <w:szCs w:val="30"/>
          <w:highlight w:val="none"/>
        </w:rPr>
        <w:t xml:space="preserve">  </w:t>
      </w:r>
    </w:p>
    <w:p w14:paraId="0FF7014A">
      <w:pPr>
        <w:pStyle w:val="15"/>
        <w:spacing w:beforeAutospacing="0" w:afterAutospacing="0" w:line="360" w:lineRule="auto"/>
        <w:rPr>
          <w:color w:val="auto"/>
          <w:highlight w:val="none"/>
        </w:rPr>
      </w:pPr>
      <w:r>
        <w:rPr>
          <w:color w:val="auto"/>
          <w:highlight w:val="none"/>
        </w:rPr>
        <w:t> </w:t>
      </w:r>
    </w:p>
    <w:p w14:paraId="556DF0DC">
      <w:pPr>
        <w:pStyle w:val="15"/>
        <w:spacing w:beforeAutospacing="0" w:afterAutospacing="0" w:line="360" w:lineRule="auto"/>
        <w:rPr>
          <w:color w:val="auto"/>
          <w:highlight w:val="none"/>
        </w:rPr>
      </w:pPr>
      <w:r>
        <w:rPr>
          <w:color w:val="auto"/>
          <w:highlight w:val="none"/>
        </w:rPr>
        <w:t> </w:t>
      </w:r>
    </w:p>
    <w:p w14:paraId="05502139">
      <w:pPr>
        <w:pStyle w:val="15"/>
        <w:spacing w:beforeAutospacing="0" w:afterAutospacing="0" w:line="360" w:lineRule="auto"/>
        <w:rPr>
          <w:color w:val="auto"/>
          <w:highlight w:val="none"/>
        </w:rPr>
      </w:pPr>
      <w:r>
        <w:rPr>
          <w:color w:val="auto"/>
          <w:highlight w:val="none"/>
        </w:rPr>
        <w:t> </w:t>
      </w:r>
    </w:p>
    <w:p w14:paraId="50085B47">
      <w:pPr>
        <w:pStyle w:val="15"/>
        <w:spacing w:beforeAutospacing="0" w:afterAutospacing="0" w:line="360" w:lineRule="auto"/>
        <w:rPr>
          <w:color w:val="auto"/>
          <w:highlight w:val="none"/>
        </w:rPr>
      </w:pPr>
      <w:r>
        <w:rPr>
          <w:color w:val="auto"/>
          <w:highlight w:val="none"/>
        </w:rPr>
        <w:t> </w:t>
      </w:r>
    </w:p>
    <w:p w14:paraId="07C0ECD4">
      <w:pPr>
        <w:pStyle w:val="15"/>
        <w:spacing w:beforeAutospacing="0" w:afterAutospacing="0" w:line="360" w:lineRule="auto"/>
        <w:rPr>
          <w:color w:val="auto"/>
          <w:highlight w:val="none"/>
        </w:rPr>
      </w:pPr>
      <w:r>
        <w:rPr>
          <w:color w:val="auto"/>
          <w:highlight w:val="none"/>
        </w:rPr>
        <w:t> </w:t>
      </w:r>
    </w:p>
    <w:p w14:paraId="34251635">
      <w:pPr>
        <w:pStyle w:val="15"/>
        <w:spacing w:beforeAutospacing="0" w:afterAutospacing="0" w:line="360" w:lineRule="auto"/>
        <w:rPr>
          <w:color w:val="auto"/>
          <w:highlight w:val="none"/>
        </w:rPr>
      </w:pPr>
      <w:r>
        <w:rPr>
          <w:color w:val="auto"/>
          <w:highlight w:val="none"/>
        </w:rPr>
        <w:t> </w:t>
      </w:r>
    </w:p>
    <w:p w14:paraId="496A847E">
      <w:pPr>
        <w:pStyle w:val="15"/>
        <w:spacing w:beforeAutospacing="0" w:afterAutospacing="0" w:line="360" w:lineRule="auto"/>
        <w:rPr>
          <w:color w:val="auto"/>
          <w:highlight w:val="none"/>
        </w:rPr>
      </w:pPr>
      <w:r>
        <w:rPr>
          <w:color w:val="auto"/>
          <w:highlight w:val="none"/>
        </w:rPr>
        <w:t> </w:t>
      </w:r>
    </w:p>
    <w:p w14:paraId="311C19CA">
      <w:pPr>
        <w:pStyle w:val="15"/>
        <w:spacing w:before="120" w:beforeAutospacing="0" w:after="120" w:afterAutospacing="0" w:line="360" w:lineRule="auto"/>
        <w:jc w:val="center"/>
        <w:rPr>
          <w:rFonts w:hint="default" w:ascii="Arial" w:hAnsi="Arial" w:cs="Arial"/>
          <w:b/>
          <w:color w:val="auto"/>
          <w:sz w:val="32"/>
          <w:szCs w:val="32"/>
          <w:highlight w:val="none"/>
          <w:lang w:val="en-US" w:eastAsia="zh-CN"/>
        </w:rPr>
      </w:pPr>
      <w:r>
        <w:rPr>
          <w:rFonts w:hint="eastAsia" w:ascii="Arial" w:hAnsi="Arial" w:cs="Arial"/>
          <w:b/>
          <w:color w:val="auto"/>
          <w:sz w:val="32"/>
          <w:szCs w:val="32"/>
          <w:highlight w:val="none"/>
        </w:rPr>
        <w:t>采购单位</w:t>
      </w:r>
      <w:r>
        <w:rPr>
          <w:rFonts w:hint="eastAsia" w:ascii="Arial" w:hAnsi="Arial" w:cs="Arial"/>
          <w:b/>
          <w:color w:val="auto"/>
          <w:sz w:val="32"/>
          <w:szCs w:val="32"/>
          <w:highlight w:val="none"/>
          <w:lang w:eastAsia="zh-CN"/>
        </w:rPr>
        <w:t>：</w:t>
      </w:r>
      <w:r>
        <w:rPr>
          <w:rFonts w:hint="eastAsia" w:ascii="Arial" w:hAnsi="Arial" w:cs="Arial"/>
          <w:b/>
          <w:color w:val="auto"/>
          <w:sz w:val="32"/>
          <w:szCs w:val="32"/>
          <w:highlight w:val="none"/>
          <w:lang w:val="zh-CN" w:eastAsia="zh-CN"/>
        </w:rPr>
        <w:t>盐城市亭湖区盐东镇人民政府</w:t>
      </w:r>
    </w:p>
    <w:p w14:paraId="36E8D47F">
      <w:pPr>
        <w:pStyle w:val="15"/>
        <w:spacing w:before="120" w:beforeAutospacing="0" w:after="120" w:afterAutospacing="0" w:line="360" w:lineRule="auto"/>
        <w:jc w:val="center"/>
        <w:rPr>
          <w:rFonts w:hint="eastAsia" w:ascii="宋体" w:hAnsi="宋体" w:eastAsia="宋体" w:cs="宋体"/>
          <w:color w:val="auto"/>
          <w:highlight w:val="none"/>
          <w:u w:val="none"/>
        </w:rPr>
      </w:pPr>
      <w:r>
        <w:rPr>
          <w:rFonts w:hint="eastAsia" w:ascii="宋体" w:hAnsi="宋体" w:eastAsia="宋体" w:cs="宋体"/>
          <w:b/>
          <w:color w:val="auto"/>
          <w:sz w:val="32"/>
          <w:szCs w:val="32"/>
          <w:highlight w:val="none"/>
          <w:u w:val="none"/>
          <w:lang w:val="en-US" w:eastAsia="zh-CN"/>
        </w:rPr>
        <w:t>2026</w:t>
      </w:r>
      <w:r>
        <w:rPr>
          <w:rFonts w:hint="eastAsia" w:ascii="宋体" w:hAnsi="宋体" w:eastAsia="宋体" w:cs="宋体"/>
          <w:b/>
          <w:color w:val="auto"/>
          <w:sz w:val="32"/>
          <w:szCs w:val="32"/>
          <w:highlight w:val="none"/>
          <w:u w:val="none"/>
        </w:rPr>
        <w:t>年</w:t>
      </w:r>
      <w:r>
        <w:rPr>
          <w:rFonts w:hint="eastAsia" w:ascii="宋体" w:hAnsi="宋体" w:eastAsia="宋体" w:cs="宋体"/>
          <w:b/>
          <w:color w:val="auto"/>
          <w:sz w:val="32"/>
          <w:szCs w:val="32"/>
          <w:highlight w:val="none"/>
          <w:u w:val="none"/>
          <w:lang w:val="en-US" w:eastAsia="zh-CN"/>
        </w:rPr>
        <w:t>6</w:t>
      </w:r>
      <w:r>
        <w:rPr>
          <w:rFonts w:hint="eastAsia" w:ascii="宋体" w:hAnsi="宋体" w:eastAsia="宋体" w:cs="宋体"/>
          <w:b/>
          <w:color w:val="auto"/>
          <w:sz w:val="32"/>
          <w:szCs w:val="32"/>
          <w:highlight w:val="none"/>
          <w:u w:val="none"/>
        </w:rPr>
        <w:t>月</w:t>
      </w:r>
    </w:p>
    <w:p w14:paraId="0ECC7718">
      <w:pPr>
        <w:pStyle w:val="15"/>
        <w:spacing w:before="120" w:beforeAutospacing="0" w:after="120" w:afterAutospacing="0" w:line="360" w:lineRule="auto"/>
        <w:rPr>
          <w:color w:val="auto"/>
          <w:highlight w:val="none"/>
        </w:rPr>
      </w:pPr>
      <w:r>
        <w:rPr>
          <w:rFonts w:ascii="Arial" w:hAnsi="Arial" w:cs="Arial"/>
          <w:color w:val="auto"/>
          <w:highlight w:val="none"/>
        </w:rPr>
        <w:t xml:space="preserve">                        </w:t>
      </w:r>
    </w:p>
    <w:p w14:paraId="78C81666">
      <w:pPr>
        <w:pStyle w:val="15"/>
        <w:spacing w:before="120" w:beforeAutospacing="0" w:after="120" w:afterAutospacing="0" w:line="360" w:lineRule="auto"/>
        <w:jc w:val="center"/>
        <w:rPr>
          <w:color w:val="auto"/>
          <w:highlight w:val="none"/>
        </w:rPr>
      </w:pPr>
      <w:r>
        <w:rPr>
          <w:color w:val="auto"/>
          <w:highlight w:val="none"/>
        </w:rPr>
        <w:t> </w:t>
      </w:r>
    </w:p>
    <w:p w14:paraId="462C13C9">
      <w:pPr>
        <w:pStyle w:val="15"/>
        <w:spacing w:beforeAutospacing="0" w:afterAutospacing="0" w:line="480" w:lineRule="auto"/>
        <w:jc w:val="center"/>
        <w:rPr>
          <w:rFonts w:ascii="Times New Roman" w:hAnsi="Times New Roman"/>
          <w:color w:val="auto"/>
          <w:sz w:val="21"/>
          <w:szCs w:val="21"/>
          <w:highlight w:val="none"/>
        </w:rPr>
        <w:sectPr>
          <w:pgSz w:w="11906" w:h="16838"/>
          <w:pgMar w:top="1440" w:right="1800" w:bottom="1440" w:left="1800" w:header="851" w:footer="992" w:gutter="0"/>
          <w:cols w:space="425" w:num="1"/>
          <w:docGrid w:type="lines" w:linePitch="312" w:charSpace="0"/>
        </w:sectPr>
      </w:pPr>
    </w:p>
    <w:p w14:paraId="11305133">
      <w:pPr>
        <w:pStyle w:val="15"/>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16938516"/>
      <w:bookmarkStart w:id="1" w:name="_Toc479757206"/>
      <w:bookmarkStart w:id="2" w:name="_Toc523127445"/>
      <w:bookmarkStart w:id="3" w:name="_Toc513029200"/>
      <w:bookmarkStart w:id="4" w:name="_Toc20823272"/>
      <w:bookmarkStart w:id="5" w:name="_Toc12061421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75822FF8">
      <w:pPr>
        <w:pStyle w:val="15"/>
        <w:spacing w:beforeAutospacing="0" w:afterAutospacing="0" w:line="480" w:lineRule="auto"/>
        <w:jc w:val="both"/>
        <w:rPr>
          <w:color w:val="auto"/>
          <w:highlight w:val="none"/>
        </w:rPr>
      </w:pPr>
      <w:r>
        <w:rPr>
          <w:color w:val="auto"/>
          <w:highlight w:val="none"/>
        </w:rPr>
        <w:t> </w:t>
      </w:r>
    </w:p>
    <w:p w14:paraId="416A413A">
      <w:pPr>
        <w:pStyle w:val="14"/>
        <w:tabs>
          <w:tab w:val="right" w:leader="dot" w:pos="8948"/>
        </w:tabs>
        <w:rPr>
          <w:rFonts w:hint="eastAsia" w:ascii="宋体" w:hAnsi="宋体" w:eastAsiaTheme="minorEastAsia" w:cstheme="minorBidi"/>
          <w:color w:val="000000" w:themeColor="text1"/>
          <w:sz w:val="28"/>
          <w:szCs w:val="28"/>
          <w:lang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TOC \o "1-3" \u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第一章 </w:t>
      </w:r>
      <w:r>
        <w:rPr>
          <w:rFonts w:hint="eastAsia" w:ascii="宋体" w:hAnsi="宋体"/>
          <w:color w:val="000000" w:themeColor="text1"/>
          <w:sz w:val="28"/>
          <w:szCs w:val="28"/>
          <w:lang w:val="en-US" w:eastAsia="zh-CN"/>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竞争性磋商采购公告</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1</w:t>
      </w:r>
    </w:p>
    <w:p w14:paraId="3BC69B19">
      <w:pPr>
        <w:pStyle w:val="14"/>
        <w:tabs>
          <w:tab w:val="right" w:leader="dot" w:pos="8948"/>
        </w:tabs>
        <w:rPr>
          <w:rFonts w:hint="eastAsia" w:ascii="宋体" w:hAnsi="宋体" w:eastAsiaTheme="minorEastAsia" w:cstheme="minorBidi"/>
          <w:color w:val="000000" w:themeColor="text1"/>
          <w:sz w:val="28"/>
          <w:szCs w:val="28"/>
          <w:lang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第二章  磋商须知</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6</w:t>
      </w:r>
    </w:p>
    <w:p w14:paraId="2A8B8035">
      <w:pPr>
        <w:pStyle w:val="14"/>
        <w:tabs>
          <w:tab w:val="right" w:leader="dot" w:pos="8948"/>
        </w:tabs>
        <w:rPr>
          <w:rFonts w:hint="default" w:ascii="宋体" w:hAnsi="宋体" w:eastAsiaTheme="minorEastAsia"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第三章  合同条款及格式</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21</w:t>
      </w:r>
    </w:p>
    <w:p w14:paraId="45388E79">
      <w:pPr>
        <w:pStyle w:val="14"/>
        <w:tabs>
          <w:tab w:val="right" w:leader="dot" w:pos="8948"/>
        </w:tabs>
        <w:rPr>
          <w:rFonts w:ascii="宋体" w:hAnsi="宋体" w:cstheme="minorBidi"/>
          <w:color w:val="000000" w:themeColor="text1"/>
          <w:sz w:val="28"/>
          <w:szCs w:val="28"/>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第四章  项目需求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_Toc203032703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53</w:t>
      </w:r>
      <w:r>
        <w:rPr>
          <w:rFonts w:ascii="宋体" w:hAnsi="宋体"/>
          <w:color w:val="000000" w:themeColor="text1"/>
          <w:sz w:val="28"/>
          <w:szCs w:val="28"/>
          <w14:textFill>
            <w14:solidFill>
              <w14:schemeClr w14:val="tx1"/>
            </w14:solidFill>
          </w14:textFill>
        </w:rPr>
        <w:fldChar w:fldCharType="end"/>
      </w:r>
    </w:p>
    <w:p w14:paraId="4D5D41EF">
      <w:pPr>
        <w:pStyle w:val="14"/>
        <w:tabs>
          <w:tab w:val="right" w:leader="dot" w:pos="8948"/>
        </w:tabs>
        <w:rPr>
          <w:rFonts w:hint="default" w:ascii="宋体" w:hAnsi="宋体" w:eastAsiaTheme="minorEastAsia"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第五章 </w:t>
      </w:r>
      <w:r>
        <w:rPr>
          <w:rFonts w:hint="eastAsia" w:ascii="宋体" w:hAnsi="宋体"/>
          <w:color w:val="000000" w:themeColor="text1"/>
          <w:sz w:val="28"/>
          <w:szCs w:val="28"/>
          <w:lang w:val="en-US" w:eastAsia="zh-CN"/>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定标原则和评审标准</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56</w:t>
      </w:r>
    </w:p>
    <w:p w14:paraId="0AF1445F">
      <w:pPr>
        <w:pStyle w:val="14"/>
        <w:tabs>
          <w:tab w:val="right" w:leader="dot" w:pos="8948"/>
        </w:tabs>
        <w:rPr>
          <w:rFonts w:hint="default" w:ascii="宋体" w:hAnsi="宋体" w:eastAsiaTheme="minorEastAsia"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第六章  竞争性磋商响应文件格式</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59</w:t>
      </w:r>
    </w:p>
    <w:p w14:paraId="6B2C1DD3">
      <w:pPr>
        <w:pStyle w:val="15"/>
        <w:tabs>
          <w:tab w:val="left" w:pos="1441"/>
        </w:tabs>
        <w:spacing w:beforeAutospacing="0" w:afterAutospacing="0" w:line="480" w:lineRule="auto"/>
        <w:ind w:left="2160" w:hanging="1440"/>
        <w:jc w:val="both"/>
        <w:rPr>
          <w:color w:val="auto"/>
          <w:highlight w:val="none"/>
        </w:rPr>
      </w:pPr>
      <w:r>
        <w:rPr>
          <w:rFonts w:ascii="宋体" w:hAnsi="宋体"/>
          <w:color w:val="000000" w:themeColor="text1"/>
          <w:sz w:val="28"/>
          <w:szCs w:val="28"/>
          <w14:textFill>
            <w14:solidFill>
              <w14:schemeClr w14:val="tx1"/>
            </w14:solidFill>
          </w14:textFill>
        </w:rPr>
        <w:fldChar w:fldCharType="end"/>
      </w:r>
    </w:p>
    <w:p w14:paraId="0127F939">
      <w:pPr>
        <w:pStyle w:val="15"/>
        <w:spacing w:beforeAutospacing="0" w:afterAutospacing="0"/>
        <w:jc w:val="both"/>
        <w:rPr>
          <w:color w:val="auto"/>
          <w:highlight w:val="none"/>
        </w:rPr>
      </w:pPr>
      <w:r>
        <w:rPr>
          <w:color w:val="auto"/>
          <w:highlight w:val="none"/>
        </w:rPr>
        <w:t> </w:t>
      </w:r>
    </w:p>
    <w:p w14:paraId="2A1A6F4E">
      <w:pPr>
        <w:pStyle w:val="15"/>
        <w:spacing w:beforeAutospacing="0" w:afterAutospacing="0"/>
        <w:jc w:val="both"/>
        <w:rPr>
          <w:color w:val="auto"/>
          <w:highlight w:val="none"/>
        </w:rPr>
      </w:pPr>
      <w:r>
        <w:rPr>
          <w:color w:val="auto"/>
          <w:highlight w:val="none"/>
        </w:rPr>
        <w:t> </w:t>
      </w:r>
    </w:p>
    <w:p w14:paraId="23AF03AC">
      <w:pPr>
        <w:pStyle w:val="15"/>
        <w:spacing w:beforeAutospacing="0" w:afterAutospacing="0"/>
        <w:jc w:val="both"/>
        <w:rPr>
          <w:color w:val="auto"/>
          <w:highlight w:val="none"/>
        </w:rPr>
      </w:pPr>
      <w:r>
        <w:rPr>
          <w:color w:val="auto"/>
          <w:highlight w:val="none"/>
        </w:rPr>
        <w:t> </w:t>
      </w:r>
    </w:p>
    <w:p w14:paraId="120BF48B">
      <w:pPr>
        <w:pStyle w:val="15"/>
        <w:spacing w:beforeAutospacing="0" w:afterAutospacing="0"/>
        <w:jc w:val="both"/>
        <w:rPr>
          <w:color w:val="auto"/>
          <w:highlight w:val="none"/>
        </w:rPr>
      </w:pPr>
      <w:r>
        <w:rPr>
          <w:color w:val="auto"/>
          <w:highlight w:val="none"/>
        </w:rPr>
        <w:t> </w:t>
      </w:r>
    </w:p>
    <w:p w14:paraId="2C822BE6">
      <w:pPr>
        <w:pStyle w:val="15"/>
        <w:spacing w:beforeAutospacing="0" w:afterAutospacing="0"/>
        <w:jc w:val="both"/>
        <w:rPr>
          <w:color w:val="auto"/>
          <w:highlight w:val="none"/>
        </w:rPr>
      </w:pPr>
      <w:r>
        <w:rPr>
          <w:color w:val="auto"/>
          <w:highlight w:val="none"/>
        </w:rPr>
        <w:t> </w:t>
      </w:r>
    </w:p>
    <w:p w14:paraId="4451FE81">
      <w:pPr>
        <w:pStyle w:val="15"/>
        <w:spacing w:beforeAutospacing="0" w:afterAutospacing="0"/>
        <w:jc w:val="both"/>
        <w:rPr>
          <w:color w:val="auto"/>
          <w:highlight w:val="none"/>
        </w:rPr>
      </w:pPr>
      <w:r>
        <w:rPr>
          <w:color w:val="auto"/>
          <w:highlight w:val="none"/>
        </w:rPr>
        <w:t> </w:t>
      </w:r>
    </w:p>
    <w:p w14:paraId="2A439CC2">
      <w:pPr>
        <w:pStyle w:val="15"/>
        <w:spacing w:beforeAutospacing="0" w:afterAutospacing="0"/>
        <w:jc w:val="both"/>
        <w:rPr>
          <w:color w:val="auto"/>
          <w:highlight w:val="none"/>
        </w:rPr>
      </w:pPr>
      <w:r>
        <w:rPr>
          <w:color w:val="auto"/>
          <w:highlight w:val="none"/>
        </w:rPr>
        <w:t> </w:t>
      </w:r>
    </w:p>
    <w:p w14:paraId="48D1D9F8">
      <w:pPr>
        <w:pStyle w:val="15"/>
        <w:spacing w:beforeAutospacing="0" w:afterAutospacing="0"/>
        <w:jc w:val="both"/>
        <w:rPr>
          <w:color w:val="auto"/>
          <w:highlight w:val="none"/>
        </w:rPr>
      </w:pPr>
      <w:r>
        <w:rPr>
          <w:color w:val="auto"/>
          <w:highlight w:val="none"/>
        </w:rPr>
        <w:t> </w:t>
      </w:r>
    </w:p>
    <w:p w14:paraId="47314E59">
      <w:pPr>
        <w:pStyle w:val="15"/>
        <w:spacing w:beforeAutospacing="0" w:afterAutospacing="0"/>
        <w:jc w:val="both"/>
        <w:rPr>
          <w:color w:val="auto"/>
          <w:highlight w:val="none"/>
        </w:rPr>
      </w:pPr>
      <w:r>
        <w:rPr>
          <w:color w:val="auto"/>
          <w:highlight w:val="none"/>
        </w:rPr>
        <w:t> </w:t>
      </w:r>
    </w:p>
    <w:p w14:paraId="7BDB1610">
      <w:pPr>
        <w:pStyle w:val="15"/>
        <w:spacing w:beforeAutospacing="0" w:afterAutospacing="0"/>
        <w:jc w:val="both"/>
        <w:rPr>
          <w:color w:val="auto"/>
          <w:highlight w:val="none"/>
        </w:rPr>
      </w:pPr>
      <w:r>
        <w:rPr>
          <w:color w:val="auto"/>
          <w:highlight w:val="none"/>
        </w:rPr>
        <w:t> </w:t>
      </w:r>
    </w:p>
    <w:p w14:paraId="4B12CA4C">
      <w:pPr>
        <w:pStyle w:val="15"/>
        <w:spacing w:beforeAutospacing="0" w:afterAutospacing="0"/>
        <w:jc w:val="both"/>
        <w:rPr>
          <w:color w:val="auto"/>
          <w:highlight w:val="none"/>
        </w:rPr>
      </w:pPr>
      <w:r>
        <w:rPr>
          <w:color w:val="auto"/>
          <w:highlight w:val="none"/>
        </w:rPr>
        <w:t> </w:t>
      </w:r>
    </w:p>
    <w:p w14:paraId="255E0519">
      <w:pPr>
        <w:pStyle w:val="15"/>
        <w:spacing w:beforeAutospacing="0" w:afterAutospacing="0"/>
        <w:jc w:val="both"/>
        <w:rPr>
          <w:color w:val="auto"/>
          <w:highlight w:val="none"/>
        </w:rPr>
      </w:pPr>
      <w:r>
        <w:rPr>
          <w:color w:val="auto"/>
          <w:highlight w:val="none"/>
        </w:rPr>
        <w:t> </w:t>
      </w:r>
    </w:p>
    <w:p w14:paraId="528070EA">
      <w:pPr>
        <w:pStyle w:val="15"/>
        <w:spacing w:beforeAutospacing="0" w:afterAutospacing="0"/>
        <w:jc w:val="both"/>
        <w:rPr>
          <w:color w:val="auto"/>
          <w:highlight w:val="none"/>
        </w:rPr>
      </w:pPr>
      <w:r>
        <w:rPr>
          <w:color w:val="auto"/>
          <w:highlight w:val="none"/>
        </w:rPr>
        <w:t> </w:t>
      </w:r>
    </w:p>
    <w:p w14:paraId="3788826F">
      <w:pPr>
        <w:pStyle w:val="15"/>
        <w:spacing w:beforeAutospacing="0" w:afterAutospacing="0"/>
        <w:jc w:val="both"/>
        <w:rPr>
          <w:color w:val="auto"/>
          <w:highlight w:val="none"/>
        </w:rPr>
      </w:pPr>
      <w:r>
        <w:rPr>
          <w:color w:val="auto"/>
          <w:highlight w:val="none"/>
        </w:rPr>
        <w:t> </w:t>
      </w:r>
    </w:p>
    <w:p w14:paraId="0491F98F">
      <w:pPr>
        <w:pStyle w:val="15"/>
        <w:spacing w:beforeAutospacing="0" w:afterAutospacing="0"/>
        <w:jc w:val="both"/>
        <w:rPr>
          <w:color w:val="auto"/>
          <w:highlight w:val="none"/>
        </w:rPr>
      </w:pPr>
      <w:r>
        <w:rPr>
          <w:color w:val="auto"/>
          <w:highlight w:val="none"/>
        </w:rPr>
        <w:t> </w:t>
      </w:r>
    </w:p>
    <w:p w14:paraId="484847E3">
      <w:pPr>
        <w:pStyle w:val="15"/>
        <w:spacing w:beforeAutospacing="0" w:afterAutospacing="0"/>
        <w:jc w:val="both"/>
        <w:rPr>
          <w:color w:val="auto"/>
          <w:highlight w:val="none"/>
        </w:rPr>
      </w:pPr>
      <w:r>
        <w:rPr>
          <w:color w:val="auto"/>
          <w:highlight w:val="none"/>
        </w:rPr>
        <w:t> </w:t>
      </w:r>
    </w:p>
    <w:p w14:paraId="38C2EB33">
      <w:pPr>
        <w:pStyle w:val="15"/>
        <w:spacing w:beforeAutospacing="0" w:afterAutospacing="0"/>
        <w:jc w:val="both"/>
        <w:rPr>
          <w:color w:val="auto"/>
          <w:highlight w:val="none"/>
        </w:rPr>
      </w:pPr>
      <w:r>
        <w:rPr>
          <w:color w:val="auto"/>
          <w:highlight w:val="none"/>
        </w:rPr>
        <w:t> </w:t>
      </w:r>
    </w:p>
    <w:p w14:paraId="469DA47E">
      <w:pPr>
        <w:pStyle w:val="15"/>
        <w:spacing w:beforeAutospacing="0" w:afterAutospacing="0"/>
        <w:jc w:val="both"/>
        <w:rPr>
          <w:color w:val="auto"/>
          <w:highlight w:val="none"/>
        </w:rPr>
      </w:pPr>
      <w:r>
        <w:rPr>
          <w:color w:val="auto"/>
          <w:highlight w:val="none"/>
        </w:rPr>
        <w:t> </w:t>
      </w:r>
    </w:p>
    <w:p w14:paraId="187BFE5C">
      <w:pPr>
        <w:pStyle w:val="15"/>
        <w:spacing w:beforeAutospacing="0" w:afterAutospacing="0"/>
        <w:jc w:val="both"/>
        <w:rPr>
          <w:color w:val="auto"/>
          <w:highlight w:val="none"/>
        </w:rPr>
      </w:pPr>
      <w:r>
        <w:rPr>
          <w:color w:val="auto"/>
          <w:highlight w:val="none"/>
        </w:rPr>
        <w:t> </w:t>
      </w:r>
    </w:p>
    <w:p w14:paraId="433CBF8A">
      <w:pPr>
        <w:pStyle w:val="15"/>
        <w:spacing w:beforeAutospacing="0" w:afterAutospacing="0"/>
        <w:jc w:val="both"/>
        <w:rPr>
          <w:color w:val="auto"/>
          <w:highlight w:val="none"/>
        </w:rPr>
      </w:pPr>
      <w:r>
        <w:rPr>
          <w:color w:val="auto"/>
          <w:highlight w:val="none"/>
        </w:rPr>
        <w:t> </w:t>
      </w:r>
    </w:p>
    <w:p w14:paraId="0330D82C">
      <w:pPr>
        <w:pStyle w:val="15"/>
        <w:spacing w:beforeAutospacing="0" w:afterAutospacing="0"/>
        <w:jc w:val="both"/>
        <w:rPr>
          <w:color w:val="auto"/>
          <w:highlight w:val="none"/>
        </w:rPr>
      </w:pPr>
      <w:r>
        <w:rPr>
          <w:color w:val="auto"/>
          <w:highlight w:val="none"/>
        </w:rPr>
        <w:t> </w:t>
      </w:r>
    </w:p>
    <w:p w14:paraId="03764B51">
      <w:pPr>
        <w:pStyle w:val="15"/>
        <w:spacing w:beforeAutospacing="0" w:afterAutospacing="0"/>
        <w:jc w:val="both"/>
        <w:rPr>
          <w:color w:val="auto"/>
          <w:highlight w:val="none"/>
        </w:rPr>
      </w:pPr>
      <w:r>
        <w:rPr>
          <w:color w:val="auto"/>
          <w:highlight w:val="none"/>
        </w:rPr>
        <w:t> </w:t>
      </w:r>
    </w:p>
    <w:p w14:paraId="24137C0A">
      <w:pPr>
        <w:pStyle w:val="15"/>
        <w:spacing w:beforeAutospacing="0" w:afterAutospacing="0"/>
        <w:jc w:val="both"/>
        <w:rPr>
          <w:color w:val="auto"/>
          <w:highlight w:val="none"/>
        </w:rPr>
      </w:pPr>
      <w:r>
        <w:rPr>
          <w:color w:val="auto"/>
          <w:highlight w:val="none"/>
        </w:rPr>
        <w:t> </w:t>
      </w:r>
    </w:p>
    <w:p w14:paraId="3FABF538">
      <w:pPr>
        <w:pStyle w:val="15"/>
        <w:spacing w:beforeAutospacing="0" w:afterAutospacing="0"/>
        <w:jc w:val="both"/>
        <w:rPr>
          <w:color w:val="auto"/>
          <w:highlight w:val="none"/>
        </w:rPr>
      </w:pPr>
      <w:r>
        <w:rPr>
          <w:color w:val="auto"/>
          <w:highlight w:val="none"/>
        </w:rPr>
        <w:t> </w:t>
      </w:r>
    </w:p>
    <w:p w14:paraId="5B8EE21B">
      <w:pPr>
        <w:pStyle w:val="15"/>
        <w:spacing w:beforeAutospacing="0" w:afterAutospacing="0"/>
        <w:jc w:val="both"/>
        <w:rPr>
          <w:color w:val="auto"/>
          <w:highlight w:val="none"/>
        </w:rPr>
      </w:pPr>
      <w:r>
        <w:rPr>
          <w:color w:val="auto"/>
          <w:highlight w:val="none"/>
        </w:rPr>
        <w:t> </w:t>
      </w:r>
    </w:p>
    <w:p w14:paraId="22580CE9">
      <w:pPr>
        <w:pStyle w:val="15"/>
        <w:keepNext/>
        <w:spacing w:beforeAutospacing="0" w:afterAutospacing="0"/>
        <w:jc w:val="center"/>
        <w:rPr>
          <w:rFonts w:hint="eastAsia" w:ascii="黑体" w:hAnsi="宋体" w:eastAsia="黑体" w:cs="黑体"/>
          <w:color w:val="auto"/>
          <w:sz w:val="44"/>
          <w:szCs w:val="44"/>
          <w:highlight w:val="none"/>
        </w:rPr>
        <w:sectPr>
          <w:footerReference r:id="rId3" w:type="default"/>
          <w:pgSz w:w="11906" w:h="16838"/>
          <w:pgMar w:top="1440" w:right="1800" w:bottom="1440" w:left="1800" w:header="851" w:footer="992" w:gutter="0"/>
          <w:pgNumType w:start="1"/>
          <w:cols w:space="425" w:num="1"/>
          <w:docGrid w:type="lines" w:linePitch="312" w:charSpace="0"/>
        </w:sectPr>
      </w:pPr>
      <w:bookmarkStart w:id="6" w:name="_Toc28359086"/>
    </w:p>
    <w:p w14:paraId="7FB681EC">
      <w:pPr>
        <w:pStyle w:val="15"/>
        <w:keepNext/>
        <w:spacing w:beforeAutospacing="0" w:afterAutospacing="0"/>
        <w:jc w:val="center"/>
        <w:rPr>
          <w:rFonts w:hint="eastAsia" w:ascii="仿宋" w:hAnsi="仿宋" w:eastAsia="仿宋" w:cs="仿宋"/>
          <w:color w:val="auto"/>
          <w:sz w:val="28"/>
          <w:szCs w:val="28"/>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p>
    <w:p w14:paraId="6274C873">
      <w:pPr>
        <w:pStyle w:val="15"/>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7845114">
      <w:pPr>
        <w:pStyle w:val="15"/>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sz w:val="24"/>
          <w:szCs w:val="24"/>
          <w:highlight w:val="none"/>
        </w:rPr>
      </w:pPr>
      <w:r>
        <w:rPr>
          <w:rFonts w:hint="eastAsia"/>
          <w:u w:val="single"/>
          <w:lang w:val="zh-CN"/>
        </w:rPr>
        <w:t>盐东镇农村公路中次差路段大中修工程</w:t>
      </w:r>
      <w:r>
        <w:rPr>
          <w:rFonts w:hint="eastAsia"/>
          <w:u w:val="single"/>
          <w:lang w:val="en-US" w:eastAsia="zh-CN"/>
        </w:rPr>
        <w:t xml:space="preserve"> </w:t>
      </w:r>
      <w:r>
        <w:rPr>
          <w:rFonts w:hint="eastAsia"/>
          <w:u w:val="none"/>
          <w:lang w:val="en-US" w:eastAsia="zh-CN"/>
        </w:rPr>
        <w:t>，</w:t>
      </w:r>
      <w:r>
        <w:rPr>
          <w:rFonts w:hint="eastAsia" w:ascii="宋体" w:hAnsi="宋体" w:cs="宋体"/>
          <w:color w:val="000000" w:themeColor="text1"/>
          <w:sz w:val="24"/>
          <w14:textFill>
            <w14:solidFill>
              <w14:schemeClr w14:val="tx1"/>
            </w14:solidFill>
          </w14:textFill>
        </w:rPr>
        <w:t>项目编号</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JSZC-320902-KYJS-C2026-0001</w:t>
      </w:r>
      <w:r>
        <w:rPr>
          <w:rFonts w:hint="eastAsia" w:ascii="仿宋" w:hAnsi="仿宋" w:eastAsia="仿宋"/>
          <w:color w:val="000000" w:themeColor="text1"/>
          <w:sz w:val="24"/>
          <w14:textFill>
            <w14:solidFill>
              <w14:schemeClr w14:val="tx1"/>
            </w14:solidFill>
          </w14:textFill>
        </w:rPr>
        <w:t>）</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项目的潜在供应商</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在</w:t>
      </w:r>
      <w:r>
        <w:rPr>
          <w:rFonts w:hint="eastAsia" w:ascii="宋体" w:hAnsi="宋体" w:eastAsia="宋体" w:cs="宋体"/>
          <w:i w:val="0"/>
          <w:iCs w:val="0"/>
          <w:caps w:val="0"/>
          <w:color w:val="auto"/>
          <w:spacing w:val="0"/>
          <w:sz w:val="24"/>
          <w:szCs w:val="24"/>
          <w:highlight w:val="none"/>
          <w:shd w:val="clear" w:fill="FFFFFF"/>
        </w:rPr>
        <w:t>“苏采云”系统内免费下载（投标人必须在苏采云系统中获</w:t>
      </w:r>
      <w:r>
        <w:rPr>
          <w:rFonts w:hint="eastAsia" w:ascii="宋体" w:hAnsi="宋体" w:eastAsia="宋体" w:cs="宋体"/>
          <w:color w:val="auto"/>
          <w:sz w:val="24"/>
          <w:szCs w:val="24"/>
          <w:highlight w:val="none"/>
        </w:rPr>
        <w:t>取</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文件，方</w:t>
      </w:r>
      <w:r>
        <w:rPr>
          <w:rFonts w:hint="eastAsia" w:ascii="宋体" w:hAnsi="宋体" w:eastAsia="宋体" w:cs="宋体"/>
          <w:i w:val="0"/>
          <w:iCs w:val="0"/>
          <w:caps w:val="0"/>
          <w:color w:val="auto"/>
          <w:spacing w:val="0"/>
          <w:sz w:val="24"/>
          <w:szCs w:val="24"/>
          <w:highlight w:val="none"/>
          <w:shd w:val="clear" w:fill="FFFFFF"/>
        </w:rPr>
        <w:t>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北京时间）前递交响应文件。</w:t>
      </w:r>
    </w:p>
    <w:p w14:paraId="267D1D99">
      <w:pPr>
        <w:pStyle w:val="15"/>
        <w:keepNext/>
        <w:keepLines/>
        <w:pageBreakBefore w:val="0"/>
        <w:kinsoku/>
        <w:wordWrap/>
        <w:overflowPunct/>
        <w:topLinePunct w:val="0"/>
        <w:autoSpaceDE/>
        <w:autoSpaceDN/>
        <w:bidi w:val="0"/>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bookmarkStart w:id="7" w:name="_Toc28359079"/>
      <w:bookmarkStart w:id="8" w:name="_Toc28359002"/>
      <w:bookmarkStart w:id="9" w:name="_Hlk24379207"/>
      <w:bookmarkStart w:id="10" w:name="_Toc35393621"/>
      <w:bookmarkStart w:id="11" w:name="_Toc38985263"/>
      <w:bookmarkStart w:id="12" w:name="_Toc35393790"/>
      <w:r>
        <w:rPr>
          <w:rFonts w:hint="eastAsia" w:ascii="宋体" w:hAnsi="宋体" w:eastAsia="宋体" w:cs="宋体"/>
          <w:b/>
          <w:color w:val="auto"/>
          <w:sz w:val="24"/>
          <w:szCs w:val="24"/>
          <w:highlight w:val="none"/>
        </w:rPr>
        <w:t>一、项目基本情况</w:t>
      </w:r>
      <w:bookmarkEnd w:id="7"/>
      <w:bookmarkEnd w:id="8"/>
      <w:bookmarkEnd w:id="9"/>
      <w:bookmarkEnd w:id="10"/>
      <w:bookmarkEnd w:id="11"/>
      <w:bookmarkEnd w:id="12"/>
    </w:p>
    <w:p w14:paraId="46B5776A">
      <w:pPr>
        <w:pageBreakBefore w:val="0"/>
        <w:kinsoku/>
        <w:wordWrap/>
        <w:overflowPunct/>
        <w:topLinePunct w:val="0"/>
        <w:autoSpaceDE/>
        <w:autoSpaceDN/>
        <w:bidi w:val="0"/>
        <w:spacing w:line="460" w:lineRule="exact"/>
        <w:ind w:firstLine="480"/>
        <w:textAlignment w:val="auto"/>
        <w:rPr>
          <w:rFonts w:hint="eastAsia" w:ascii="宋体" w:hAnsi="宋体" w:cs="宋体"/>
          <w:color w:val="000000" w:themeColor="text1"/>
          <w:sz w:val="24"/>
          <w:lang w:val="en-US" w:eastAsia="zh-CN"/>
          <w14:textFill>
            <w14:solidFill>
              <w14:schemeClr w14:val="tx1"/>
            </w14:solidFill>
          </w14:textFill>
        </w:rPr>
      </w:pPr>
      <w:bookmarkStart w:id="13" w:name="_Toc35393622"/>
      <w:bookmarkStart w:id="14" w:name="_Toc38985264"/>
      <w:bookmarkStart w:id="15" w:name="_Toc28359080"/>
      <w:bookmarkStart w:id="16" w:name="_Toc28359003"/>
      <w:bookmarkStart w:id="17" w:name="_Toc35393791"/>
      <w:r>
        <w:rPr>
          <w:rFonts w:hint="eastAsia" w:ascii="宋体" w:hAnsi="宋体" w:cs="宋体"/>
          <w:color w:val="000000" w:themeColor="text1"/>
          <w:sz w:val="24"/>
          <w14:textFill>
            <w14:solidFill>
              <w14:schemeClr w14:val="tx1"/>
            </w14:solidFill>
          </w14:textFill>
        </w:rPr>
        <w:t>1.项目编号：JSZC-320902-KYJS-C2026-0001</w:t>
      </w:r>
      <w:r>
        <w:rPr>
          <w:rFonts w:hint="eastAsia" w:ascii="宋体" w:hAnsi="宋体" w:cs="宋体"/>
          <w:color w:val="000000" w:themeColor="text1"/>
          <w:sz w:val="24"/>
          <w:lang w:val="en-US" w:eastAsia="zh-CN"/>
          <w14:textFill>
            <w14:solidFill>
              <w14:schemeClr w14:val="tx1"/>
            </w14:solidFill>
          </w14:textFill>
        </w:rPr>
        <w:t xml:space="preserve"> </w:t>
      </w:r>
    </w:p>
    <w:p w14:paraId="2C212225">
      <w:pPr>
        <w:pageBreakBefore w:val="0"/>
        <w:kinsoku/>
        <w:wordWrap/>
        <w:overflowPunct/>
        <w:topLinePunct w:val="0"/>
        <w:autoSpaceDE/>
        <w:autoSpaceDN/>
        <w:bidi w:val="0"/>
        <w:spacing w:line="460" w:lineRule="exact"/>
        <w:ind w:firstLine="48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2.项目名称：</w:t>
      </w:r>
      <w:r>
        <w:rPr>
          <w:rFonts w:hint="eastAsia" w:ascii="宋体" w:hAnsi="宋体" w:cs="宋体"/>
          <w:color w:val="000000" w:themeColor="text1"/>
          <w:sz w:val="24"/>
          <w:lang w:eastAsia="zh-CN"/>
          <w14:textFill>
            <w14:solidFill>
              <w14:schemeClr w14:val="tx1"/>
            </w14:solidFill>
          </w14:textFill>
        </w:rPr>
        <w:t>盐东镇农村公路中次差路段大中修工程</w:t>
      </w:r>
    </w:p>
    <w:p w14:paraId="390EB122">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3.采购方式：竞争性磋商</w:t>
      </w:r>
    </w:p>
    <w:p w14:paraId="57E30AD0">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4.预算金额：</w:t>
      </w:r>
      <w:r>
        <w:rPr>
          <w:rFonts w:hint="eastAsia" w:ascii="宋体" w:hAnsi="宋体" w:cs="宋体"/>
          <w:color w:val="000000" w:themeColor="text1"/>
          <w:sz w:val="24"/>
          <w:lang w:val="en-US" w:eastAsia="zh-CN"/>
          <w14:textFill>
            <w14:solidFill>
              <w14:schemeClr w14:val="tx1"/>
            </w14:solidFill>
          </w14:textFill>
        </w:rPr>
        <w:t>387.36</w:t>
      </w:r>
      <w:r>
        <w:rPr>
          <w:rFonts w:hint="eastAsia" w:ascii="宋体" w:hAnsi="宋体" w:cs="宋体"/>
          <w:color w:val="000000" w:themeColor="text1"/>
          <w:sz w:val="24"/>
          <w14:textFill>
            <w14:solidFill>
              <w14:schemeClr w14:val="tx1"/>
            </w14:solidFill>
          </w14:textFill>
        </w:rPr>
        <w:t>万元</w:t>
      </w:r>
    </w:p>
    <w:p w14:paraId="6E346F0E">
      <w:pPr>
        <w:pageBreakBefore w:val="0"/>
        <w:kinsoku/>
        <w:wordWrap/>
        <w:overflowPunct/>
        <w:topLinePunct w:val="0"/>
        <w:autoSpaceDE/>
        <w:autoSpaceDN/>
        <w:bidi w:val="0"/>
        <w:spacing w:line="460" w:lineRule="exact"/>
        <w:ind w:firstLine="48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5.最高限价：</w:t>
      </w:r>
      <w:r>
        <w:rPr>
          <w:rFonts w:hint="eastAsia" w:ascii="宋体" w:hAnsi="宋体" w:cs="宋体"/>
          <w:color w:val="000000" w:themeColor="text1"/>
          <w:sz w:val="24"/>
          <w:lang w:val="en-US" w:eastAsia="zh-CN"/>
          <w14:textFill>
            <w14:solidFill>
              <w14:schemeClr w14:val="tx1"/>
            </w14:solidFill>
          </w14:textFill>
        </w:rPr>
        <w:t>387.36</w:t>
      </w:r>
      <w:r>
        <w:rPr>
          <w:rFonts w:hint="eastAsia" w:ascii="宋体" w:hAnsi="宋体" w:cs="宋体"/>
          <w:color w:val="000000" w:themeColor="text1"/>
          <w:sz w:val="24"/>
          <w14:textFill>
            <w14:solidFill>
              <w14:schemeClr w14:val="tx1"/>
            </w14:solidFill>
          </w14:textFill>
        </w:rPr>
        <w:t>万元</w:t>
      </w:r>
    </w:p>
    <w:p w14:paraId="13CF0C52">
      <w:pPr>
        <w:pageBreakBefore w:val="0"/>
        <w:kinsoku/>
        <w:wordWrap/>
        <w:overflowPunct/>
        <w:topLinePunct w:val="0"/>
        <w:autoSpaceDE/>
        <w:autoSpaceDN/>
        <w:bidi w:val="0"/>
        <w:spacing w:line="460" w:lineRule="exact"/>
        <w:ind w:firstLine="480"/>
        <w:textAlignment w:val="auto"/>
        <w:rPr>
          <w:rFonts w:hint="eastAsia" w:ascii="宋体" w:hAnsi="宋体" w:cs="宋体" w:eastAsiaTheme="minorEastAsia"/>
          <w:color w:val="000000" w:themeColor="text1"/>
          <w:sz w:val="24"/>
          <w:lang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6.采购需求：本工程建设地点位于</w:t>
      </w:r>
      <w:r>
        <w:rPr>
          <w:rFonts w:hint="eastAsia" w:ascii="宋体" w:hAnsi="宋体" w:eastAsia="宋体" w:cs="宋体"/>
          <w:color w:val="000000" w:themeColor="text1"/>
          <w:kern w:val="0"/>
          <w:sz w:val="24"/>
          <w:lang w:eastAsia="zh-CN"/>
          <w14:textFill>
            <w14:solidFill>
              <w14:schemeClr w14:val="tx1"/>
            </w14:solidFill>
          </w14:textFill>
        </w:rPr>
        <w:t>盐东镇</w:t>
      </w:r>
      <w:r>
        <w:rPr>
          <w:rFonts w:hint="eastAsia" w:ascii="宋体" w:hAnsi="宋体" w:eastAsia="宋体" w:cs="宋体"/>
          <w:color w:val="000000" w:themeColor="text1"/>
          <w:kern w:val="0"/>
          <w:sz w:val="24"/>
          <w:lang w:val="en-US" w:eastAsia="zh-CN"/>
          <w14:textFill>
            <w14:solidFill>
              <w14:schemeClr w14:val="tx1"/>
            </w14:solidFill>
          </w14:textFill>
        </w:rPr>
        <w:t>境</w:t>
      </w:r>
      <w:r>
        <w:rPr>
          <w:rFonts w:hint="eastAsia" w:ascii="宋体" w:hAnsi="宋体" w:eastAsia="宋体" w:cs="宋体"/>
          <w:color w:val="000000" w:themeColor="text1"/>
          <w:kern w:val="0"/>
          <w:sz w:val="24"/>
          <w14:textFill>
            <w14:solidFill>
              <w14:schemeClr w14:val="tx1"/>
            </w14:solidFill>
          </w14:textFill>
        </w:rPr>
        <w:t>内，采购范围</w:t>
      </w:r>
      <w:r>
        <w:rPr>
          <w:rFonts w:hint="eastAsia" w:ascii="宋体" w:hAnsi="宋体" w:eastAsia="宋体" w:cs="宋体"/>
          <w:color w:val="000000" w:themeColor="text1"/>
          <w:kern w:val="0"/>
          <w:sz w:val="24"/>
          <w:lang w:eastAsia="zh-CN"/>
          <w14:textFill>
            <w14:solidFill>
              <w14:schemeClr w14:val="tx1"/>
            </w14:solidFill>
          </w14:textFill>
        </w:rPr>
        <w:t>：</w:t>
      </w:r>
      <w:r>
        <w:rPr>
          <w:rFonts w:hint="eastAsia" w:ascii="宋体" w:hAnsi="宋体" w:eastAsia="宋体" w:cs="宋体"/>
          <w:color w:val="000000" w:themeColor="text1"/>
          <w:kern w:val="0"/>
          <w:sz w:val="24"/>
          <w:lang w:val="en-US" w:eastAsia="zh-CN"/>
          <w14:textFill>
            <w14:solidFill>
              <w14:schemeClr w14:val="tx1"/>
            </w14:solidFill>
          </w14:textFill>
        </w:rPr>
        <w:t>盐曙线现状为水泥混凝土路面，全长约4.68km，现状道路宽5.5</w:t>
      </w:r>
      <w:r>
        <w:rPr>
          <w:rFonts w:hint="eastAsia" w:ascii="宋体" w:hAnsi="宋体" w:eastAsia="宋体" w:cs="宋体"/>
          <w:b w:val="0"/>
          <w:bCs w:val="0"/>
          <w:spacing w:val="9"/>
          <w:sz w:val="24"/>
          <w:szCs w:val="24"/>
          <w:vertAlign w:val="baseline"/>
          <w:lang w:val="en-US" w:eastAsia="zh-CN"/>
        </w:rPr>
        <w:t>m，路面维修面积约2560m²，桥梁搭板维修面积约33m²；盐中线东子午路现状为水泥混凝土路面，全长约3.67km，现状道路宽5.5m，路面维修面积约7814m²，桥梁搭板维修面积约132m²；中东七组进出路现状为水泥混凝土路面，全长约1.66km，现状道路宽6.0m，路面维修面积约2058m²；坞港农庄路现状为水泥混凝土路面，全长约1.78km，现状道路宽3.5m，路面维修面积约2605m²，桥梁搭板维修面积约42m²；海棠桥北路现状为水泥混凝土路面，全长约1.32km，现状道路宽6.0m；因现状道路破损严重，采取整路维修，共五条路，全长约13.11km</w:t>
      </w:r>
      <w:r>
        <w:rPr>
          <w:rFonts w:hint="eastAsia" w:ascii="宋体" w:hAnsi="宋体" w:eastAsia="宋体" w:cs="宋体"/>
          <w:kern w:val="0"/>
          <w:sz w:val="24"/>
          <w:szCs w:val="24"/>
          <w:highlight w:val="none"/>
          <w:lang w:val="zh-CN" w:bidi="zh-CN"/>
        </w:rPr>
        <w:t>。</w:t>
      </w:r>
      <w:r>
        <w:rPr>
          <w:rFonts w:asciiTheme="minorEastAsia" w:hAnsiTheme="minorEastAsia" w:eastAsiaTheme="minorEastAsia"/>
          <w:bCs/>
          <w:color w:val="auto"/>
          <w:sz w:val="24"/>
          <w:szCs w:val="24"/>
          <w:highlight w:val="none"/>
        </w:rPr>
        <w:t>具体以采购人提供的工程量清单、施工图纸</w:t>
      </w:r>
      <w:r>
        <w:rPr>
          <w:rFonts w:hint="eastAsia" w:asciiTheme="minorEastAsia" w:hAnsiTheme="minorEastAsia" w:eastAsiaTheme="minorEastAsia"/>
          <w:bCs/>
          <w:color w:val="auto"/>
          <w:sz w:val="24"/>
          <w:szCs w:val="24"/>
          <w:highlight w:val="none"/>
        </w:rPr>
        <w:t>及采购人现场要求</w:t>
      </w:r>
      <w:r>
        <w:rPr>
          <w:rFonts w:asciiTheme="minorEastAsia" w:hAnsiTheme="minorEastAsia" w:eastAsiaTheme="minorEastAsia"/>
          <w:bCs/>
          <w:color w:val="auto"/>
          <w:sz w:val="24"/>
          <w:szCs w:val="24"/>
          <w:highlight w:val="none"/>
        </w:rPr>
        <w:t>为准，</w:t>
      </w:r>
      <w:r>
        <w:rPr>
          <w:rFonts w:hint="eastAsia" w:cs="宋体" w:asciiTheme="minorEastAsia" w:hAnsiTheme="minorEastAsia" w:eastAsiaTheme="minorEastAsia"/>
          <w:bCs/>
          <w:color w:val="auto"/>
          <w:sz w:val="24"/>
          <w:szCs w:val="24"/>
          <w:highlight w:val="none"/>
        </w:rPr>
        <w:t>服从采购人管理</w:t>
      </w:r>
      <w:r>
        <w:rPr>
          <w:rFonts w:hint="eastAsia" w:ascii="宋体" w:hAnsi="宋体" w:cs="宋体"/>
          <w:color w:val="000000" w:themeColor="text1"/>
          <w:sz w:val="24"/>
          <w14:textFill>
            <w14:solidFill>
              <w14:schemeClr w14:val="tx1"/>
            </w14:solidFill>
          </w14:textFill>
        </w:rPr>
        <w:t>，采购人保留对上述采购范围进行适当调整的权利。详见第四章项目需求</w:t>
      </w:r>
      <w:r>
        <w:rPr>
          <w:rFonts w:hint="eastAsia" w:ascii="宋体" w:hAnsi="宋体" w:cs="宋体"/>
          <w:color w:val="000000" w:themeColor="text1"/>
          <w:sz w:val="24"/>
          <w:lang w:eastAsia="zh-CN"/>
          <w14:textFill>
            <w14:solidFill>
              <w14:schemeClr w14:val="tx1"/>
            </w14:solidFill>
          </w14:textFill>
        </w:rPr>
        <w:t>。</w:t>
      </w:r>
    </w:p>
    <w:p w14:paraId="10B3373A">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7.工期：</w:t>
      </w:r>
      <w:r>
        <w:rPr>
          <w:rFonts w:hint="eastAsia" w:ascii="宋体" w:hAnsi="宋体" w:cs="宋体"/>
          <w:color w:val="000000" w:themeColor="text1"/>
          <w:sz w:val="24"/>
          <w:lang w:val="en-US" w:eastAsia="zh-CN"/>
          <w14:textFill>
            <w14:solidFill>
              <w14:schemeClr w14:val="tx1"/>
            </w14:solidFill>
          </w14:textFill>
        </w:rPr>
        <w:t>90日历天</w:t>
      </w:r>
      <w:r>
        <w:rPr>
          <w:rFonts w:hint="eastAsia" w:ascii="宋体" w:hAnsi="宋体" w:cs="宋体"/>
          <w:color w:val="000000" w:themeColor="text1"/>
          <w:sz w:val="24"/>
          <w14:textFill>
            <w14:solidFill>
              <w14:schemeClr w14:val="tx1"/>
            </w14:solidFill>
          </w14:textFill>
        </w:rPr>
        <w:t>，具体开工日期以采购人的书面通知为准。</w:t>
      </w:r>
    </w:p>
    <w:p w14:paraId="2B4365C7">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8.本项目不接受联合体投标。</w:t>
      </w:r>
    </w:p>
    <w:p w14:paraId="6A37C2F4">
      <w:pPr>
        <w:pStyle w:val="15"/>
        <w:keepNext/>
        <w:keepLines/>
        <w:pageBreakBefore w:val="0"/>
        <w:kinsoku/>
        <w:wordWrap/>
        <w:overflowPunct/>
        <w:topLinePunct w:val="0"/>
        <w:autoSpaceDE/>
        <w:autoSpaceDN/>
        <w:bidi w:val="0"/>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30FFF969">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000000" w:themeColor="text1"/>
          <w:sz w:val="24"/>
          <w14:textFill>
            <w14:solidFill>
              <w14:schemeClr w14:val="tx1"/>
            </w14:solidFill>
          </w14:textFill>
        </w:rPr>
        <w:t>（一）</w:t>
      </w:r>
      <w:r>
        <w:rPr>
          <w:rFonts w:hint="eastAsia" w:ascii="宋体" w:hAnsi="宋体" w:eastAsia="宋体" w:cs="宋体"/>
          <w:color w:val="auto"/>
          <w:sz w:val="24"/>
          <w:szCs w:val="24"/>
          <w:highlight w:val="none"/>
          <w:shd w:val="clear" w:color="auto" w:fill="auto"/>
        </w:rPr>
        <w:t>满足《中华人民共和国政府采购法》第二十二条规定</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000000" w:themeColor="text1"/>
          <w:sz w:val="24"/>
          <w:highlight w:val="none"/>
          <w14:textFill>
            <w14:solidFill>
              <w14:schemeClr w14:val="tx1"/>
            </w14:solidFill>
          </w14:textFill>
        </w:rPr>
        <w:t>并提供下列材料</w:t>
      </w:r>
      <w:r>
        <w:rPr>
          <w:rFonts w:hint="eastAsia" w:ascii="宋体" w:hAnsi="宋体" w:eastAsia="宋体" w:cs="宋体"/>
          <w:color w:val="auto"/>
          <w:sz w:val="24"/>
          <w:szCs w:val="24"/>
          <w:highlight w:val="none"/>
          <w:shd w:val="clear" w:color="auto" w:fill="auto"/>
        </w:rPr>
        <w:t>：</w:t>
      </w:r>
    </w:p>
    <w:p w14:paraId="3137D08B">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法人或者其他组织的营业执照等证明文件</w:t>
      </w:r>
      <w:r>
        <w:rPr>
          <w:rFonts w:hint="eastAsia" w:ascii="宋体" w:hAnsi="宋体" w:eastAsia="宋体" w:cs="宋体"/>
          <w:color w:val="auto"/>
          <w:sz w:val="24"/>
          <w:szCs w:val="24"/>
          <w:highlight w:val="none"/>
          <w:shd w:val="clear" w:color="auto" w:fill="auto"/>
          <w:lang w:val="en-US" w:eastAsia="zh-CN"/>
        </w:rPr>
        <w:t>或</w:t>
      </w:r>
      <w:r>
        <w:rPr>
          <w:rFonts w:hint="eastAsia" w:ascii="宋体" w:hAnsi="宋体" w:eastAsia="宋体" w:cs="宋体"/>
          <w:color w:val="auto"/>
          <w:sz w:val="24"/>
          <w:szCs w:val="24"/>
          <w:highlight w:val="none"/>
          <w:shd w:val="clear" w:color="auto" w:fill="auto"/>
        </w:rPr>
        <w:t>自然人的身份证明；</w:t>
      </w:r>
    </w:p>
    <w:p w14:paraId="565F4DE8">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上一年度的财务状况报</w:t>
      </w:r>
      <w:r>
        <w:rPr>
          <w:rFonts w:hint="eastAsia" w:ascii="宋体" w:hAnsi="宋体" w:eastAsia="宋体" w:cs="宋体"/>
          <w:color w:val="auto"/>
          <w:sz w:val="24"/>
          <w:szCs w:val="24"/>
          <w:highlight w:val="none"/>
          <w:shd w:val="clear" w:color="auto" w:fill="auto"/>
          <w:lang w:val="en-US" w:eastAsia="zh-CN"/>
        </w:rPr>
        <w:t>告</w:t>
      </w:r>
      <w:r>
        <w:rPr>
          <w:rFonts w:hint="eastAsia" w:ascii="宋体" w:hAnsi="宋体" w:eastAsia="宋体" w:cs="宋体"/>
          <w:color w:val="auto"/>
          <w:sz w:val="24"/>
          <w:szCs w:val="24"/>
          <w:highlight w:val="none"/>
          <w:shd w:val="clear" w:color="auto" w:fill="auto"/>
        </w:rPr>
        <w:t>（</w:t>
      </w:r>
      <w:r>
        <w:rPr>
          <w:rFonts w:hint="eastAsia" w:ascii="宋体" w:hAnsi="宋体" w:cs="宋体"/>
          <w:color w:val="000000" w:themeColor="text1"/>
          <w:sz w:val="24"/>
          <w14:textFill>
            <w14:solidFill>
              <w14:schemeClr w14:val="tx1"/>
            </w14:solidFill>
          </w14:textFill>
        </w:rPr>
        <w:t>至少提供资产负债表、利润表、现金流量表，成立不满一年不需提供</w:t>
      </w:r>
      <w:r>
        <w:rPr>
          <w:rFonts w:hint="eastAsia" w:ascii="宋体" w:hAnsi="宋体" w:eastAsia="宋体" w:cs="宋体"/>
          <w:color w:val="auto"/>
          <w:sz w:val="24"/>
          <w:szCs w:val="24"/>
          <w:highlight w:val="none"/>
          <w:shd w:val="clear" w:color="auto" w:fill="auto"/>
        </w:rPr>
        <w:t>）；</w:t>
      </w:r>
    </w:p>
    <w:p w14:paraId="3A6CE872">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728D2499">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749232C6">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w:t>
      </w:r>
    </w:p>
    <w:p w14:paraId="17271903">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6.法律、行政法规规定的其他条件。</w:t>
      </w:r>
    </w:p>
    <w:p w14:paraId="654AAD83">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在“信用中国”网站查询</w:t>
      </w:r>
      <w:r>
        <w:rPr>
          <w:rFonts w:hint="eastAsia" w:ascii="宋体" w:hAnsi="宋体" w:cs="宋体"/>
          <w:color w:val="000000" w:themeColor="text1"/>
          <w:sz w:val="24"/>
          <w14:textFill>
            <w14:solidFill>
              <w14:schemeClr w14:val="tx1"/>
            </w14:solidFill>
          </w14:textFill>
        </w:rPr>
        <w:t>（www.creditchina.gov.cn）</w:t>
      </w:r>
      <w:r>
        <w:rPr>
          <w:rFonts w:hint="eastAsia" w:ascii="宋体" w:hAnsi="宋体" w:eastAsia="宋体" w:cs="宋体"/>
          <w:color w:val="auto"/>
          <w:sz w:val="24"/>
          <w:szCs w:val="24"/>
          <w:highlight w:val="none"/>
          <w:shd w:val="clear" w:color="auto" w:fill="auto"/>
        </w:rPr>
        <w:t>，无被列入失信被执行人、重大税收违法案件当事人名单、政府采购严重失信行为记录名单及其他不符合《中华人民共和国政府采购法》第二十二条规定条件的信用记录。（响应文件中无需提供证明材料）</w:t>
      </w:r>
    </w:p>
    <w:p w14:paraId="0BDCC76C">
      <w:pPr>
        <w:pStyle w:val="15"/>
        <w:pageBreakBefore w:val="0"/>
        <w:kinsoku/>
        <w:wordWrap/>
        <w:overflowPunct/>
        <w:topLinePunct w:val="0"/>
        <w:autoSpaceDE/>
        <w:autoSpaceDN/>
        <w:bidi w:val="0"/>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6262EFB5">
      <w:pPr>
        <w:pStyle w:val="15"/>
        <w:pageBreakBefore w:val="0"/>
        <w:numPr>
          <w:ilvl w:val="0"/>
          <w:numId w:val="0"/>
        </w:numPr>
        <w:kinsoku/>
        <w:wordWrap/>
        <w:overflowPunct/>
        <w:topLinePunct w:val="0"/>
        <w:autoSpaceDE/>
        <w:autoSpaceDN/>
        <w:bidi w:val="0"/>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cs="宋体"/>
          <w:color w:val="000000" w:themeColor="text1"/>
          <w:sz w:val="24"/>
          <w14:textFill>
            <w14:solidFill>
              <w14:schemeClr w14:val="tx1"/>
            </w14:solidFill>
          </w14:textFill>
        </w:rPr>
        <w:t>（二）</w:t>
      </w:r>
      <w:r>
        <w:rPr>
          <w:rFonts w:hint="eastAsia" w:ascii="宋体" w:hAnsi="宋体" w:eastAsia="宋体" w:cs="宋体"/>
          <w:color w:val="auto"/>
          <w:sz w:val="24"/>
          <w:szCs w:val="24"/>
          <w:highlight w:val="none"/>
          <w:shd w:val="clear" w:color="auto" w:fill="auto"/>
        </w:rPr>
        <w:t>落实政府采购政策需满足的资格要求：</w:t>
      </w:r>
    </w:p>
    <w:p w14:paraId="67EE7BEB">
      <w:pPr>
        <w:pStyle w:val="15"/>
        <w:pageBreakBefore w:val="0"/>
        <w:numPr>
          <w:ilvl w:val="0"/>
          <w:numId w:val="0"/>
        </w:numPr>
        <w:kinsoku/>
        <w:wordWrap/>
        <w:overflowPunct/>
        <w:topLinePunct w:val="0"/>
        <w:autoSpaceDE/>
        <w:autoSpaceDN/>
        <w:bidi w:val="0"/>
        <w:spacing w:beforeAutospacing="0" w:afterAutospacing="0" w:line="460" w:lineRule="exact"/>
        <w:ind w:firstLine="482" w:firstLineChars="200"/>
        <w:jc w:val="both"/>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cs="宋体" w:asciiTheme="minorEastAsia" w:hAnsiTheme="minorEastAsia" w:eastAsiaTheme="minorEastAsia"/>
          <w:b/>
          <w:bCs w:val="0"/>
          <w:color w:val="auto"/>
          <w:sz w:val="24"/>
          <w:szCs w:val="24"/>
          <w:highlight w:val="none"/>
        </w:rPr>
        <w:t>本项目专门面向中小企业采购，投标人须为符合《关于印发中小企业划型标准规定的通知》(工信部联企业[2011]300号)文件的中小微企业，供应商投标时须提供《中小企业声明函》，否则按无效标处理</w:t>
      </w:r>
      <w:r>
        <w:rPr>
          <w:rFonts w:hint="eastAsia" w:ascii="宋体" w:hAnsi="宋体" w:eastAsia="宋体" w:cs="宋体"/>
          <w:b/>
          <w:bCs w:val="0"/>
          <w:color w:val="auto"/>
          <w:sz w:val="24"/>
          <w:szCs w:val="24"/>
          <w:highlight w:val="none"/>
          <w:shd w:val="clear" w:color="auto" w:fill="auto"/>
          <w:lang w:val="en-US" w:eastAsia="zh-CN"/>
        </w:rPr>
        <w:t>。采购标的的所属行业为建筑业。</w:t>
      </w:r>
    </w:p>
    <w:p w14:paraId="567F74C4">
      <w:pPr>
        <w:pStyle w:val="15"/>
        <w:pageBreakBefore w:val="0"/>
        <w:numPr>
          <w:ilvl w:val="0"/>
          <w:numId w:val="0"/>
        </w:numPr>
        <w:kinsoku/>
        <w:wordWrap/>
        <w:overflowPunct/>
        <w:topLinePunct w:val="0"/>
        <w:autoSpaceDE/>
        <w:autoSpaceDN/>
        <w:bidi w:val="0"/>
        <w:spacing w:beforeAutospacing="0" w:afterAutospacing="0" w:line="460" w:lineRule="exact"/>
        <w:ind w:left="480" w:leftChars="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000000" w:themeColor="text1"/>
          <w:sz w:val="24"/>
          <w14:textFill>
            <w14:solidFill>
              <w14:schemeClr w14:val="tx1"/>
            </w14:solidFill>
          </w14:textFill>
        </w:rPr>
        <w:t>（三）</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p>
    <w:p w14:paraId="6718CED0">
      <w:pPr>
        <w:pStyle w:val="15"/>
        <w:pageBreakBefore w:val="0"/>
        <w:numPr>
          <w:ilvl w:val="0"/>
          <w:numId w:val="0"/>
        </w:numPr>
        <w:kinsoku/>
        <w:wordWrap/>
        <w:overflowPunct/>
        <w:topLinePunct w:val="0"/>
        <w:autoSpaceDE/>
        <w:autoSpaceDN/>
        <w:bidi w:val="0"/>
        <w:spacing w:beforeAutospacing="0" w:afterAutospacing="0" w:line="460" w:lineRule="exact"/>
        <w:ind w:firstLine="720" w:firstLineChars="300"/>
        <w:jc w:val="both"/>
        <w:textAlignment w:val="auto"/>
        <w:rPr>
          <w:rFonts w:hint="eastAsia" w:ascii="宋体" w:hAnsi="宋体" w:eastAsia="宋体" w:cs="宋体"/>
          <w:b w:val="0"/>
          <w:bCs w:val="0"/>
          <w:sz w:val="24"/>
          <w:szCs w:val="24"/>
          <w:highlight w:val="none"/>
        </w:rPr>
      </w:pPr>
      <w:r>
        <w:rPr>
          <w:rFonts w:hint="eastAsia" w:ascii="宋体" w:hAnsi="宋体" w:cs="宋体"/>
          <w:b w:val="0"/>
          <w:bCs w:val="0"/>
          <w:color w:val="000000" w:themeColor="text1"/>
          <w:sz w:val="24"/>
          <w:lang w:val="en-US" w:eastAsia="zh-CN"/>
          <w14:textFill>
            <w14:solidFill>
              <w14:schemeClr w14:val="tx1"/>
            </w14:solidFill>
          </w14:textFill>
        </w:rPr>
        <w:t>1.</w:t>
      </w:r>
      <w:r>
        <w:rPr>
          <w:rFonts w:hint="eastAsia" w:ascii="宋体" w:hAnsi="宋体" w:cs="宋体"/>
          <w:b w:val="0"/>
          <w:bCs w:val="0"/>
          <w:color w:val="000000" w:themeColor="text1"/>
          <w:sz w:val="24"/>
          <w14:textFill>
            <w14:solidFill>
              <w14:schemeClr w14:val="tx1"/>
            </w14:solidFill>
          </w14:textFill>
        </w:rPr>
        <w:t>投标人资格要求：</w:t>
      </w:r>
      <w:r>
        <w:rPr>
          <w:rFonts w:hint="eastAsia" w:ascii="宋体" w:hAnsi="宋体" w:eastAsia="宋体" w:cs="宋体"/>
          <w:b w:val="0"/>
          <w:bCs w:val="0"/>
          <w:sz w:val="24"/>
          <w:szCs w:val="24"/>
          <w:highlight w:val="none"/>
        </w:rPr>
        <w:t>投标人须具有主管部门核发的</w:t>
      </w:r>
      <w:r>
        <w:rPr>
          <w:rFonts w:hint="eastAsia" w:ascii="宋体" w:hAnsi="宋体" w:eastAsia="宋体" w:cs="宋体"/>
          <w:b w:val="0"/>
          <w:bCs w:val="0"/>
          <w:kern w:val="0"/>
          <w:sz w:val="24"/>
          <w:szCs w:val="24"/>
          <w:highlight w:val="none"/>
          <w:lang w:val="zh-CN" w:bidi="zh-CN"/>
        </w:rPr>
        <w:t>公路工程施工总承包三级及以上资质</w:t>
      </w:r>
      <w:r>
        <w:rPr>
          <w:rFonts w:hint="eastAsia" w:ascii="宋体" w:hAnsi="宋体" w:eastAsia="宋体" w:cs="宋体"/>
          <w:b w:val="0"/>
          <w:bCs w:val="0"/>
          <w:kern w:val="0"/>
          <w:sz w:val="24"/>
          <w:szCs w:val="24"/>
          <w:highlight w:val="none"/>
          <w:lang w:val="en-US" w:bidi="zh-CN"/>
        </w:rPr>
        <w:t>且</w:t>
      </w:r>
      <w:r>
        <w:rPr>
          <w:rFonts w:hint="eastAsia" w:ascii="宋体" w:hAnsi="宋体" w:eastAsia="宋体" w:cs="宋体"/>
          <w:b w:val="0"/>
          <w:bCs w:val="0"/>
          <w:sz w:val="24"/>
          <w:szCs w:val="24"/>
          <w:highlight w:val="none"/>
          <w:lang w:val="en-US" w:eastAsia="zh-CN"/>
        </w:rPr>
        <w:t>具有独立承担民事责任能力</w:t>
      </w:r>
      <w:r>
        <w:rPr>
          <w:rFonts w:hint="eastAsia" w:ascii="宋体" w:hAnsi="宋体" w:eastAsia="宋体" w:cs="宋体"/>
          <w:b w:val="0"/>
          <w:bCs w:val="0"/>
          <w:sz w:val="24"/>
          <w:szCs w:val="24"/>
          <w:highlight w:val="none"/>
        </w:rPr>
        <w:t>，并取得有效的安全生产许可证。</w:t>
      </w:r>
    </w:p>
    <w:p w14:paraId="19300116">
      <w:pPr>
        <w:pStyle w:val="15"/>
        <w:pageBreakBefore w:val="0"/>
        <w:numPr>
          <w:ilvl w:val="0"/>
          <w:numId w:val="0"/>
        </w:numPr>
        <w:kinsoku/>
        <w:wordWrap/>
        <w:overflowPunct/>
        <w:topLinePunct w:val="0"/>
        <w:autoSpaceDE/>
        <w:autoSpaceDN/>
        <w:bidi w:val="0"/>
        <w:spacing w:beforeAutospacing="0" w:afterAutospacing="0" w:line="460" w:lineRule="exact"/>
        <w:ind w:firstLine="720" w:firstLineChars="300"/>
        <w:jc w:val="both"/>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kern w:val="0"/>
          <w:sz w:val="24"/>
          <w:szCs w:val="24"/>
          <w:highlight w:val="none"/>
          <w:lang w:val="en-US" w:bidi="zh-CN"/>
        </w:rPr>
        <w:t>2.</w:t>
      </w:r>
      <w:r>
        <w:rPr>
          <w:rFonts w:hint="eastAsia" w:ascii="宋体" w:hAnsi="宋体" w:eastAsia="宋体" w:cs="宋体"/>
          <w:b w:val="0"/>
          <w:bCs w:val="0"/>
          <w:kern w:val="0"/>
          <w:sz w:val="24"/>
          <w:szCs w:val="24"/>
          <w:highlight w:val="none"/>
          <w:lang w:val="zh-CN" w:bidi="zh-CN"/>
        </w:rPr>
        <w:t>项目</w:t>
      </w:r>
      <w:r>
        <w:rPr>
          <w:rFonts w:hint="eastAsia" w:ascii="宋体" w:hAnsi="宋体" w:eastAsia="宋体" w:cs="宋体"/>
          <w:b w:val="0"/>
          <w:bCs w:val="0"/>
          <w:kern w:val="0"/>
          <w:sz w:val="24"/>
          <w:szCs w:val="24"/>
          <w:highlight w:val="none"/>
          <w:lang w:val="en-US" w:bidi="zh-CN"/>
        </w:rPr>
        <w:t>负责人（项目</w:t>
      </w:r>
      <w:r>
        <w:rPr>
          <w:rFonts w:hint="eastAsia" w:ascii="宋体" w:hAnsi="宋体" w:eastAsia="宋体" w:cs="宋体"/>
          <w:b w:val="0"/>
          <w:bCs w:val="0"/>
          <w:kern w:val="0"/>
          <w:sz w:val="24"/>
          <w:szCs w:val="24"/>
          <w:highlight w:val="none"/>
          <w:lang w:val="zh-CN" w:bidi="zh-CN"/>
        </w:rPr>
        <w:t>经理）资质：具</w:t>
      </w:r>
      <w:r>
        <w:rPr>
          <w:rFonts w:hint="eastAsia" w:ascii="宋体" w:hAnsi="宋体" w:eastAsia="宋体" w:cs="宋体"/>
          <w:b w:val="0"/>
          <w:bCs w:val="0"/>
          <w:sz w:val="24"/>
          <w:szCs w:val="24"/>
          <w:highlight w:val="none"/>
        </w:rPr>
        <w:t>有【公路工程专业】</w:t>
      </w:r>
      <w:r>
        <w:rPr>
          <w:rFonts w:hint="eastAsia" w:ascii="宋体" w:hAnsi="宋体" w:eastAsia="宋体" w:cs="宋体"/>
          <w:b w:val="0"/>
          <w:bCs w:val="0"/>
          <w:sz w:val="24"/>
          <w:szCs w:val="24"/>
          <w:highlight w:val="none"/>
          <w:lang w:eastAsia="zh-CN"/>
        </w:rPr>
        <w:t>二</w:t>
      </w:r>
      <w:r>
        <w:rPr>
          <w:rFonts w:hint="eastAsia" w:ascii="宋体" w:hAnsi="宋体" w:eastAsia="宋体" w:cs="宋体"/>
          <w:b w:val="0"/>
          <w:bCs w:val="0"/>
          <w:sz w:val="24"/>
          <w:szCs w:val="24"/>
          <w:highlight w:val="none"/>
        </w:rPr>
        <w:t>级</w:t>
      </w:r>
      <w:r>
        <w:rPr>
          <w:rFonts w:hint="eastAsia" w:ascii="宋体" w:hAnsi="宋体" w:eastAsia="宋体" w:cs="宋体"/>
          <w:b w:val="0"/>
          <w:bCs w:val="0"/>
          <w:sz w:val="24"/>
          <w:szCs w:val="24"/>
          <w:highlight w:val="none"/>
          <w:lang w:eastAsia="zh-CN"/>
        </w:rPr>
        <w:t>及以上</w:t>
      </w:r>
      <w:r>
        <w:rPr>
          <w:rFonts w:hint="eastAsia" w:ascii="宋体" w:hAnsi="宋体" w:eastAsia="宋体" w:cs="宋体"/>
          <w:b w:val="0"/>
          <w:bCs w:val="0"/>
          <w:sz w:val="24"/>
          <w:szCs w:val="24"/>
          <w:highlight w:val="none"/>
        </w:rPr>
        <w:t>注册建造师资格，</w:t>
      </w:r>
      <w:r>
        <w:rPr>
          <w:rFonts w:hint="eastAsia" w:ascii="宋体" w:hAnsi="宋体" w:eastAsia="宋体" w:cs="宋体"/>
          <w:b w:val="0"/>
          <w:bCs w:val="0"/>
          <w:sz w:val="24"/>
          <w:szCs w:val="24"/>
          <w:highlight w:val="none"/>
          <w:lang w:eastAsia="zh-CN"/>
        </w:rPr>
        <w:t>且具有</w:t>
      </w:r>
      <w:r>
        <w:rPr>
          <w:rFonts w:hint="eastAsia" w:ascii="宋体" w:hAnsi="宋体" w:eastAsia="宋体" w:cs="宋体"/>
          <w:b w:val="0"/>
          <w:bCs w:val="0"/>
          <w:sz w:val="24"/>
          <w:szCs w:val="24"/>
          <w:highlight w:val="none"/>
        </w:rPr>
        <w:t>省级及以上交通运输主管部门核发的《公路水运工程施工企业主要负责人和安全生产管理人员安全生产考核合格证书》(B证)</w:t>
      </w:r>
      <w:r>
        <w:rPr>
          <w:rFonts w:hint="eastAsia" w:ascii="宋体" w:hAnsi="宋体" w:eastAsia="宋体" w:cs="宋体"/>
          <w:b w:val="0"/>
          <w:bCs w:val="0"/>
          <w:sz w:val="24"/>
          <w:szCs w:val="24"/>
          <w:highlight w:val="none"/>
          <w:lang w:eastAsia="zh-CN"/>
        </w:rPr>
        <w:t>。</w:t>
      </w:r>
    </w:p>
    <w:p w14:paraId="19223D53">
      <w:pPr>
        <w:pageBreakBefore w:val="0"/>
        <w:widowControl w:val="0"/>
        <w:kinsoku/>
        <w:wordWrap/>
        <w:overflowPunct/>
        <w:topLinePunct w:val="0"/>
        <w:autoSpaceDE/>
        <w:autoSpaceDN/>
        <w:bidi w:val="0"/>
        <w:adjustRightInd w:val="0"/>
        <w:snapToGrid w:val="0"/>
        <w:spacing w:line="460" w:lineRule="exact"/>
        <w:ind w:firstLine="720" w:firstLineChars="3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3.技术负责人（项目总工）资格要求：具有中级及以上技术职称,同时具有省级及以上交通运输主管部门核发的安全生产考核合格证书B证。</w:t>
      </w:r>
    </w:p>
    <w:p w14:paraId="4EB377C4">
      <w:pPr>
        <w:pageBreakBefore w:val="0"/>
        <w:widowControl w:val="0"/>
        <w:kinsoku/>
        <w:wordWrap/>
        <w:overflowPunct/>
        <w:topLinePunct w:val="0"/>
        <w:autoSpaceDE/>
        <w:autoSpaceDN/>
        <w:bidi w:val="0"/>
        <w:adjustRightInd w:val="0"/>
        <w:snapToGrid w:val="0"/>
        <w:spacing w:line="460" w:lineRule="exact"/>
        <w:ind w:firstLine="720" w:firstLineChars="3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4.专职安全员：持省级及以上交通运输主管部门核发的《安全生产管理人员安全生产考核合格证书》（C证），人员数量需满足《公路水运工程安全生产监督管理办法》的要求</w:t>
      </w:r>
      <w:r>
        <w:rPr>
          <w:rFonts w:hint="eastAsia" w:ascii="宋体" w:hAnsi="宋体" w:eastAsia="宋体" w:cs="宋体"/>
          <w:kern w:val="0"/>
          <w:sz w:val="24"/>
          <w:szCs w:val="24"/>
          <w:highlight w:val="none"/>
          <w:lang w:val="zh-CN" w:bidi="zh-CN"/>
        </w:rPr>
        <w:t>。</w:t>
      </w:r>
    </w:p>
    <w:p w14:paraId="7AE68DCB">
      <w:pPr>
        <w:pageBreakBefore w:val="0"/>
        <w:widowControl w:val="0"/>
        <w:kinsoku/>
        <w:wordWrap/>
        <w:overflowPunct/>
        <w:topLinePunct w:val="0"/>
        <w:autoSpaceDE/>
        <w:autoSpaceDN/>
        <w:bidi w:val="0"/>
        <w:adjustRightInd w:val="0"/>
        <w:snapToGrid w:val="0"/>
        <w:spacing w:line="460" w:lineRule="exact"/>
        <w:ind w:firstLine="480" w:firstLineChars="20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kern w:val="0"/>
          <w:sz w:val="24"/>
          <w:szCs w:val="24"/>
          <w:highlight w:val="none"/>
          <w:lang w:val="en-US" w:bidi="zh-CN"/>
        </w:rPr>
        <w:t>5.</w:t>
      </w:r>
      <w:r>
        <w:rPr>
          <w:rFonts w:hint="eastAsia" w:ascii="宋体" w:hAnsi="宋体" w:eastAsia="宋体" w:cs="宋体"/>
          <w:kern w:val="0"/>
          <w:sz w:val="24"/>
          <w:szCs w:val="24"/>
          <w:highlight w:val="none"/>
          <w:lang w:val="zh-CN" w:bidi="zh-CN"/>
        </w:rPr>
        <w:t>投标人拟投入本项目的项目经理无在岗项目（投标时须提供项目负责人“无在岗承诺书”，具体格式详见招标文件附件），投标申请人代理人及投标承诺的项目负责人均为本单位的正式职工，投标时提供从202</w:t>
      </w:r>
      <w:r>
        <w:rPr>
          <w:rFonts w:hint="eastAsia" w:ascii="宋体" w:hAnsi="宋体" w:eastAsia="宋体" w:cs="宋体"/>
          <w:kern w:val="0"/>
          <w:sz w:val="24"/>
          <w:szCs w:val="24"/>
          <w:highlight w:val="none"/>
          <w:lang w:val="en-US" w:bidi="zh-CN"/>
        </w:rPr>
        <w:t>6</w:t>
      </w:r>
      <w:r>
        <w:rPr>
          <w:rFonts w:hint="eastAsia" w:ascii="宋体" w:hAnsi="宋体" w:eastAsia="宋体" w:cs="宋体"/>
          <w:kern w:val="0"/>
          <w:sz w:val="24"/>
          <w:szCs w:val="24"/>
          <w:highlight w:val="none"/>
          <w:lang w:val="zh-CN" w:bidi="zh-CN"/>
        </w:rPr>
        <w:t>年</w:t>
      </w:r>
      <w:r>
        <w:rPr>
          <w:rFonts w:hint="eastAsia" w:ascii="宋体" w:hAnsi="宋体" w:eastAsia="宋体" w:cs="宋体"/>
          <w:kern w:val="0"/>
          <w:sz w:val="24"/>
          <w:szCs w:val="24"/>
          <w:highlight w:val="none"/>
          <w:u w:val="single"/>
          <w:lang w:val="zh-CN" w:bidi="zh-CN"/>
        </w:rPr>
        <w:t xml:space="preserve"> </w:t>
      </w:r>
      <w:r>
        <w:rPr>
          <w:rFonts w:hint="eastAsia" w:ascii="宋体" w:hAnsi="宋体" w:eastAsia="宋体" w:cs="宋体"/>
          <w:kern w:val="0"/>
          <w:sz w:val="24"/>
          <w:szCs w:val="24"/>
          <w:highlight w:val="none"/>
          <w:u w:val="single"/>
          <w:lang w:val="en-US" w:bidi="zh-CN"/>
        </w:rPr>
        <w:t>3</w:t>
      </w:r>
      <w:r>
        <w:rPr>
          <w:rFonts w:hint="eastAsia" w:ascii="宋体" w:hAnsi="宋体" w:eastAsia="宋体" w:cs="宋体"/>
          <w:color w:val="auto"/>
          <w:kern w:val="0"/>
          <w:sz w:val="24"/>
          <w:szCs w:val="24"/>
          <w:highlight w:val="none"/>
          <w:u w:val="single"/>
          <w:lang w:val="zh-CN" w:bidi="zh-CN"/>
        </w:rPr>
        <w:t xml:space="preserve"> </w:t>
      </w:r>
      <w:r>
        <w:rPr>
          <w:rFonts w:hint="eastAsia" w:ascii="宋体" w:hAnsi="宋体" w:eastAsia="宋体" w:cs="宋体"/>
          <w:kern w:val="0"/>
          <w:sz w:val="24"/>
          <w:szCs w:val="24"/>
          <w:highlight w:val="none"/>
          <w:lang w:val="zh-CN" w:bidi="zh-CN"/>
        </w:rPr>
        <w:t>月开始至投标截止之日当月至少1个月在本单位缴纳养老保险缴费记录证明。（退休人员提供在本单位相关证明）。</w:t>
      </w:r>
    </w:p>
    <w:p w14:paraId="0D68C2DA">
      <w:pPr>
        <w:pStyle w:val="15"/>
        <w:keepNext/>
        <w:keepLines/>
        <w:pageBreakBefore w:val="0"/>
        <w:widowControl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磋商</w:t>
      </w:r>
      <w:r>
        <w:rPr>
          <w:rFonts w:hint="eastAsia" w:ascii="宋体" w:hAnsi="宋体" w:eastAsia="宋体" w:cs="宋体"/>
          <w:b/>
          <w:color w:val="auto"/>
          <w:sz w:val="24"/>
          <w:szCs w:val="24"/>
          <w:highlight w:val="none"/>
          <w:shd w:val="clear" w:color="auto" w:fill="auto"/>
        </w:rPr>
        <w:t>文件</w:t>
      </w:r>
    </w:p>
    <w:p w14:paraId="748B8A58">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时间：自招标文件公告发布之日起5个工作日；</w:t>
      </w:r>
    </w:p>
    <w:p w14:paraId="6D7EA316">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地点：“苏采云”系统内免费下载（投标人必须在苏采云系统中获取采购文件，方能参与政府采购项目）；</w:t>
      </w:r>
    </w:p>
    <w:p w14:paraId="22EC4578">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方式：本项目采用网上注册登记方式；</w:t>
      </w:r>
    </w:p>
    <w:p w14:paraId="71DF6F5A">
      <w:pPr>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售价：0.00元。</w:t>
      </w:r>
    </w:p>
    <w:p w14:paraId="42C6071C">
      <w:pPr>
        <w:pStyle w:val="15"/>
        <w:keepNext/>
        <w:keepLines/>
        <w:pageBreakBefore w:val="0"/>
        <w:widowControl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四、响应文件</w:t>
      </w:r>
      <w:r>
        <w:rPr>
          <w:rFonts w:hint="eastAsia" w:ascii="宋体" w:hAnsi="宋体" w:eastAsia="宋体" w:cs="宋体"/>
          <w:b/>
          <w:color w:val="auto"/>
          <w:sz w:val="24"/>
          <w:szCs w:val="24"/>
          <w:highlight w:val="none"/>
          <w:shd w:val="clear" w:color="auto" w:fill="auto"/>
          <w:lang w:val="en-US" w:eastAsia="zh-CN"/>
        </w:rPr>
        <w:t>提交</w:t>
      </w:r>
    </w:p>
    <w:p w14:paraId="3C8CDB9F">
      <w:pPr>
        <w:pStyle w:val="15"/>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cs="宋体"/>
          <w:color w:val="000000" w:themeColor="text1"/>
          <w:sz w:val="24"/>
          <w14:textFill>
            <w14:solidFill>
              <w14:schemeClr w14:val="tx1"/>
            </w14:solidFill>
          </w14:textFill>
        </w:rPr>
        <w:t>202</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日</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点00分</w:t>
      </w:r>
      <w:r>
        <w:rPr>
          <w:rFonts w:hint="eastAsia" w:ascii="宋体" w:hAnsi="宋体" w:eastAsia="宋体" w:cs="宋体"/>
          <w:color w:val="auto"/>
          <w:sz w:val="24"/>
          <w:szCs w:val="24"/>
          <w:highlight w:val="none"/>
          <w:shd w:val="clear" w:color="auto" w:fill="auto"/>
        </w:rPr>
        <w:t>（北京时间）</w:t>
      </w:r>
    </w:p>
    <w:p w14:paraId="21BA548A">
      <w:pPr>
        <w:pStyle w:val="15"/>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000000"/>
          <w:sz w:val="24"/>
          <w:szCs w:val="24"/>
          <w:highlight w:val="none"/>
          <w:shd w:val="clear" w:color="auto" w:fill="auto"/>
        </w:rPr>
        <w:t xml:space="preserve">苏采云“不见面”开标大厅 </w:t>
      </w:r>
    </w:p>
    <w:p w14:paraId="24D6D9FB">
      <w:pPr>
        <w:pStyle w:val="15"/>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b/>
          <w:color w:val="auto"/>
          <w:sz w:val="24"/>
          <w:szCs w:val="24"/>
          <w:highlight w:val="none"/>
          <w:shd w:val="clear" w:color="auto" w:fill="auto"/>
        </w:rPr>
      </w:pPr>
      <w:bookmarkStart w:id="18" w:name="_Toc38985268"/>
      <w:bookmarkStart w:id="19" w:name="_Toc35393795"/>
      <w:bookmarkStart w:id="20" w:name="_Toc35393626"/>
      <w:r>
        <w:rPr>
          <w:rFonts w:hint="eastAsia" w:ascii="宋体" w:hAnsi="宋体" w:eastAsia="宋体" w:cs="宋体"/>
          <w:b/>
          <w:color w:val="auto"/>
          <w:sz w:val="24"/>
          <w:szCs w:val="24"/>
          <w:highlight w:val="none"/>
          <w:shd w:val="clear" w:color="auto" w:fill="auto"/>
        </w:rPr>
        <w:t>五、开启</w:t>
      </w:r>
    </w:p>
    <w:p w14:paraId="474FF7F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1.</w:t>
      </w:r>
      <w:r>
        <w:rPr>
          <w:rFonts w:hint="eastAsia" w:ascii="宋体" w:hAnsi="宋体" w:eastAsia="宋体" w:cs="宋体"/>
          <w:i w:val="0"/>
          <w:iCs w:val="0"/>
          <w:caps w:val="0"/>
          <w:color w:val="auto"/>
          <w:spacing w:val="0"/>
          <w:sz w:val="24"/>
          <w:szCs w:val="24"/>
          <w:highlight w:val="none"/>
          <w:shd w:val="clear" w:color="auto" w:fill="auto"/>
        </w:rPr>
        <w:t>时间：</w:t>
      </w:r>
      <w:r>
        <w:rPr>
          <w:rFonts w:hint="eastAsia" w:ascii="宋体" w:hAnsi="宋体" w:cs="宋体"/>
          <w:color w:val="000000" w:themeColor="text1"/>
          <w:sz w:val="24"/>
          <w14:textFill>
            <w14:solidFill>
              <w14:schemeClr w14:val="tx1"/>
            </w14:solidFill>
          </w14:textFill>
        </w:rPr>
        <w:t>202</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年</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月</w:t>
      </w:r>
      <w:r>
        <w:rPr>
          <w:rFonts w:hint="eastAsia" w:ascii="宋体" w:hAnsi="宋体" w:cs="宋体"/>
          <w:color w:val="000000" w:themeColor="text1"/>
          <w:sz w:val="24"/>
          <w:lang w:val="en-US" w:eastAsia="zh-CN"/>
          <w14:textFill>
            <w14:solidFill>
              <w14:schemeClr w14:val="tx1"/>
            </w14:solidFill>
          </w14:textFill>
        </w:rPr>
        <w:t>9</w:t>
      </w:r>
      <w:bookmarkStart w:id="204" w:name="_GoBack"/>
      <w:bookmarkEnd w:id="204"/>
      <w:r>
        <w:rPr>
          <w:rFonts w:hint="eastAsia" w:ascii="宋体" w:hAnsi="宋体" w:cs="宋体"/>
          <w:color w:val="000000" w:themeColor="text1"/>
          <w:sz w:val="24"/>
          <w14:textFill>
            <w14:solidFill>
              <w14:schemeClr w14:val="tx1"/>
            </w14:solidFill>
          </w14:textFill>
        </w:rPr>
        <w:t>日</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点00分</w:t>
      </w:r>
      <w:r>
        <w:rPr>
          <w:rFonts w:hint="eastAsia" w:ascii="宋体" w:hAnsi="宋体" w:eastAsia="宋体" w:cs="宋体"/>
          <w:i w:val="0"/>
          <w:iCs w:val="0"/>
          <w:caps w:val="0"/>
          <w:color w:val="auto"/>
          <w:spacing w:val="0"/>
          <w:sz w:val="24"/>
          <w:szCs w:val="24"/>
          <w:highlight w:val="none"/>
          <w:shd w:val="clear" w:color="auto" w:fill="auto"/>
        </w:rPr>
        <w:t>（北京时间）</w:t>
      </w:r>
      <w:bookmarkEnd w:id="18"/>
      <w:bookmarkEnd w:id="19"/>
      <w:bookmarkEnd w:id="20"/>
    </w:p>
    <w:p w14:paraId="077143D5">
      <w:pPr>
        <w:pStyle w:val="15"/>
        <w:pageBreakBefore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w:t>
      </w:r>
      <w:r>
        <w:rPr>
          <w:rFonts w:hint="eastAsia" w:ascii="宋体" w:hAnsi="宋体" w:eastAsia="宋体" w:cs="宋体"/>
          <w:i w:val="0"/>
          <w:iCs w:val="0"/>
          <w:caps w:val="0"/>
          <w:color w:val="auto"/>
          <w:spacing w:val="0"/>
          <w:sz w:val="24"/>
          <w:szCs w:val="24"/>
          <w:highlight w:val="none"/>
          <w:shd w:val="clear" w:color="auto" w:fill="auto"/>
        </w:rPr>
        <w:t>地点：</w:t>
      </w:r>
      <w:r>
        <w:rPr>
          <w:rFonts w:hint="eastAsia" w:ascii="宋体" w:hAnsi="宋体" w:eastAsia="宋体" w:cs="宋体"/>
          <w:color w:val="000000"/>
          <w:sz w:val="24"/>
          <w:szCs w:val="24"/>
          <w:highlight w:val="none"/>
          <w:shd w:val="clear" w:color="auto" w:fill="auto"/>
        </w:rPr>
        <w:t xml:space="preserve">苏采云“不见面”开标大厅 </w:t>
      </w:r>
    </w:p>
    <w:p w14:paraId="07D074C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bookmarkStart w:id="21" w:name="_Toc28359094"/>
      <w:r>
        <w:rPr>
          <w:rFonts w:hint="eastAsia" w:ascii="宋体" w:hAnsi="宋体" w:eastAsia="宋体" w:cs="宋体"/>
          <w:b/>
          <w:bCs w:val="0"/>
          <w:color w:val="auto"/>
          <w:kern w:val="0"/>
          <w:sz w:val="24"/>
          <w:szCs w:val="24"/>
          <w:highlight w:val="none"/>
          <w:shd w:val="clear" w:color="auto" w:fill="auto"/>
          <w:lang w:val="en-US" w:eastAsia="zh-CN" w:bidi="ar-SA"/>
        </w:rPr>
        <w:t>六、公告期限</w:t>
      </w:r>
      <w:bookmarkEnd w:id="21"/>
    </w:p>
    <w:p w14:paraId="3E485BB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自本公告发布之日起3个工作日。</w:t>
      </w:r>
    </w:p>
    <w:p w14:paraId="3718DB75">
      <w:pPr>
        <w:pStyle w:val="15"/>
        <w:keepNext/>
        <w:keepLines/>
        <w:pageBreakBefore w:val="0"/>
        <w:kinsoku/>
        <w:wordWrap/>
        <w:overflowPunct/>
        <w:topLinePunct w:val="0"/>
        <w:autoSpaceDE/>
        <w:autoSpaceDN/>
        <w:bidi w:val="0"/>
        <w:adjustRightInd/>
        <w:snapToGrid/>
        <w:spacing w:before="145" w:beforeAutospacing="0" w:after="145" w:afterAutospacing="0" w:line="460" w:lineRule="exact"/>
        <w:ind w:firstLine="498"/>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七</w:t>
      </w:r>
      <w:r>
        <w:rPr>
          <w:rFonts w:hint="eastAsia" w:ascii="宋体" w:hAnsi="宋体" w:eastAsia="宋体" w:cs="宋体"/>
          <w:b/>
          <w:color w:val="auto"/>
          <w:sz w:val="24"/>
          <w:szCs w:val="24"/>
          <w:highlight w:val="none"/>
          <w:shd w:val="clear" w:color="auto" w:fill="auto"/>
        </w:rPr>
        <w:t>、其他补充事宜</w:t>
      </w:r>
    </w:p>
    <w:p w14:paraId="7317D8B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2" w:name="_Toc28359018"/>
      <w:r>
        <w:rPr>
          <w:rFonts w:hint="eastAsia" w:ascii="宋体" w:hAnsi="宋体" w:eastAsia="宋体" w:cs="宋体"/>
          <w:i w:val="0"/>
          <w:iCs w:val="0"/>
          <w:caps w:val="0"/>
          <w:color w:val="auto"/>
          <w:spacing w:val="0"/>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ACEF3D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auto"/>
          <w:lang w:val="en-US" w:eastAsia="zh-CN"/>
        </w:rPr>
        <w:t>办理</w:t>
      </w:r>
      <w:r>
        <w:rPr>
          <w:rFonts w:hint="eastAsia" w:ascii="宋体" w:hAnsi="宋体" w:eastAsia="宋体" w:cs="宋体"/>
          <w:i w:val="0"/>
          <w:iCs w:val="0"/>
          <w:caps w:val="0"/>
          <w:color w:val="FF0000"/>
          <w:spacing w:val="0"/>
          <w:sz w:val="24"/>
          <w:szCs w:val="24"/>
          <w:highlight w:val="none"/>
          <w:shd w:val="clear" w:color="auto" w:fill="auto"/>
          <w:lang w:val="en-US" w:eastAsia="zh-CN"/>
        </w:rPr>
        <w:t>，</w:t>
      </w:r>
      <w:r>
        <w:rPr>
          <w:rFonts w:hint="eastAsia" w:ascii="宋体" w:hAnsi="宋体" w:eastAsia="宋体" w:cs="宋体"/>
          <w:i w:val="0"/>
          <w:iCs w:val="0"/>
          <w:caps w:val="0"/>
          <w:color w:val="auto"/>
          <w:spacing w:val="0"/>
          <w:sz w:val="24"/>
          <w:szCs w:val="24"/>
          <w:highlight w:val="none"/>
          <w:shd w:val="clear" w:color="auto" w:fill="auto"/>
          <w:lang w:val="en-US" w:eastAsia="zh-CN"/>
        </w:rPr>
        <w:t>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68E2D381">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4731B584">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3C9E7C20">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26C5B37D">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p>
    <w:p w14:paraId="122A294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采购代理机构将数据电文形式的磋商文件加载至“苏采云”系统，供潜在供应商下载或者查阅。 </w:t>
      </w:r>
    </w:p>
    <w:p w14:paraId="0638E762">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74E6B898">
      <w:pPr>
        <w:keepNext w:val="0"/>
        <w:keepLines w:val="0"/>
        <w:pageBreakBefore w:val="0"/>
        <w:widowControl/>
        <w:suppressLineNumbers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741C0DC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3.有关本次磋商的事项若存在变动或修改，敬请及时关注代理公司在</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江苏政府采购网”“盐城市政府采购网”发布的更正公告。</w:t>
      </w:r>
    </w:p>
    <w:p w14:paraId="6B6B6688">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6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4.本次磋商不收取磋商保证金，不收取质量保证金。</w:t>
      </w:r>
    </w:p>
    <w:p w14:paraId="1FABDBE6">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投标人不得提供虚假材料谋取中标成交的或采取不正当手段诋毁、排挤其他供应商。</w:t>
      </w:r>
    </w:p>
    <w:p w14:paraId="64A88B5D">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投标人存在串通投标、以他人名义投标、弄虚作假等违法违规行为，或者无正当理由放弃投标、中标资格，造成项目招标失败的，不得参加该项目重新招标的投标。</w:t>
      </w:r>
    </w:p>
    <w:p w14:paraId="3693416F">
      <w:pPr>
        <w:pageBreakBefore w:val="0"/>
        <w:kinsoku/>
        <w:wordWrap/>
        <w:overflowPunct/>
        <w:topLinePunct w:val="0"/>
        <w:autoSpaceDE/>
        <w:autoSpaceDN/>
        <w:bidi w:val="0"/>
        <w:spacing w:line="460" w:lineRule="exact"/>
        <w:ind w:firstLine="48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因投标人的系统环境、操作等原因导致项目参与、开评标过程中出现问题由投标人自行承担负责</w:t>
      </w:r>
    </w:p>
    <w:p w14:paraId="49F472E3">
      <w:pPr>
        <w:pageBreakBefore w:val="0"/>
        <w:kinsoku/>
        <w:wordWrap/>
        <w:overflowPunct/>
        <w:topLinePunct w:val="0"/>
        <w:autoSpaceDE/>
        <w:autoSpaceDN/>
        <w:bidi w:val="0"/>
        <w:spacing w:line="460" w:lineRule="exact"/>
        <w:ind w:firstLine="480"/>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成交后需提供已标价工程量清单电子版。</w:t>
      </w:r>
    </w:p>
    <w:p w14:paraId="47A845C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b/>
          <w:bCs w:val="0"/>
          <w:color w:val="auto"/>
          <w:kern w:val="0"/>
          <w:sz w:val="24"/>
          <w:szCs w:val="24"/>
          <w:highlight w:val="none"/>
          <w:shd w:val="clear" w:color="auto" w:fill="auto"/>
          <w:lang w:val="en-US" w:eastAsia="zh-CN" w:bidi="ar-SA"/>
        </w:rPr>
        <w:t>八、凡对本次采购提出询问，请按以下方式联系。</w:t>
      </w:r>
      <w:bookmarkEnd w:id="22"/>
    </w:p>
    <w:p w14:paraId="16A1E17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p>
    <w:p w14:paraId="5E124BC4">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6A019226">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称：盐城市亭湖区盐东镇人民政府  </w:t>
      </w:r>
    </w:p>
    <w:p w14:paraId="77B660B9">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地址：</w:t>
      </w:r>
      <w:r>
        <w:rPr>
          <w:rFonts w:hint="eastAsia" w:asciiTheme="majorEastAsia" w:hAnsiTheme="majorEastAsia" w:eastAsiaTheme="majorEastAsia" w:cstheme="majorEastAsia"/>
          <w:color w:val="auto"/>
          <w:sz w:val="24"/>
          <w:szCs w:val="24"/>
          <w:highlight w:val="none"/>
          <w:lang w:val="en-US" w:eastAsia="zh-CN"/>
        </w:rPr>
        <w:t>江苏省盐城市亭湖区盐东镇盐新路246号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7A735E85">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联系人：</w:t>
      </w:r>
      <w:r>
        <w:rPr>
          <w:rFonts w:hint="eastAsia"/>
          <w:highlight w:val="none"/>
          <w:vertAlign w:val="baseline"/>
          <w:lang w:val="en-US" w:eastAsia="zh-CN"/>
        </w:rPr>
        <w:t>金先生</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05DE617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r>
        <w:rPr>
          <w:rFonts w:hint="eastAsia"/>
          <w:highlight w:val="none"/>
          <w:vertAlign w:val="baseline"/>
          <w:lang w:val="en-US" w:eastAsia="zh-CN"/>
        </w:rPr>
        <w:t>18914665518</w:t>
      </w:r>
      <w:r>
        <w:rPr>
          <w:rFonts w:hint="eastAsia" w:ascii="宋体" w:hAnsi="宋体" w:eastAsia="宋体" w:cs="宋体"/>
          <w:i w:val="0"/>
          <w:iCs w:val="0"/>
          <w:caps w:val="0"/>
          <w:color w:val="auto"/>
          <w:spacing w:val="0"/>
          <w:sz w:val="24"/>
          <w:szCs w:val="24"/>
          <w:highlight w:val="none"/>
          <w:shd w:val="clear" w:color="auto" w:fill="auto"/>
          <w:lang w:val="en-US" w:eastAsia="zh-CN"/>
        </w:rPr>
        <w:t>     </w:t>
      </w:r>
      <w:bookmarkStart w:id="23" w:name="_Toc28359009"/>
      <w:bookmarkEnd w:id="23"/>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0FD1AEE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0C05E702">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名 称：</w:t>
      </w:r>
      <w:r>
        <w:rPr>
          <w:rFonts w:hint="eastAsia" w:ascii="宋体" w:hAnsi="宋体" w:eastAsia="宋体" w:cs="宋体"/>
          <w:color w:val="auto"/>
          <w:kern w:val="0"/>
          <w:sz w:val="24"/>
          <w:szCs w:val="24"/>
          <w:highlight w:val="none"/>
          <w:lang w:val="en-US" w:eastAsia="zh-CN"/>
        </w:rPr>
        <w:t>江苏康运建设工程项目管理有限公司</w:t>
      </w:r>
    </w:p>
    <w:p w14:paraId="59D1675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 </w:t>
      </w:r>
      <w:r>
        <w:rPr>
          <w:rFonts w:hint="eastAsia" w:hAnsi="宋体" w:eastAsia="宋体" w:cs="宋体" w:asciiTheme="minorAscii"/>
          <w:color w:val="000000" w:themeColor="text1"/>
          <w:sz w:val="24"/>
          <w:szCs w:val="24"/>
          <w:highlight w:val="none"/>
          <w:lang w:eastAsia="zh-CN"/>
          <w14:textFill>
            <w14:solidFill>
              <w14:schemeClr w14:val="tx1"/>
            </w14:solidFill>
          </w14:textFill>
        </w:rPr>
        <w:t>盐城市亭湖区东进国际装饰城2号楼2单元405室</w:t>
      </w:r>
    </w:p>
    <w:p w14:paraId="76F7D97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联系人：戴女士                     </w:t>
      </w:r>
    </w:p>
    <w:p w14:paraId="038CA04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4" w:name="_Toc28359087"/>
      <w:bookmarkStart w:id="25"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13921805530       </w:t>
      </w:r>
      <w:bookmarkEnd w:id="24"/>
      <w:bookmarkEnd w:id="25"/>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6" w:name="_Toc28359021"/>
    </w:p>
    <w:p w14:paraId="5BAF3E5B">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26"/>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3C9384ED">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highlight w:val="none"/>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w:t>
      </w:r>
      <w:r>
        <w:rPr>
          <w:rFonts w:hint="eastAsia"/>
          <w:highlight w:val="none"/>
          <w:vertAlign w:val="baseline"/>
          <w:lang w:val="en-US" w:eastAsia="zh-CN"/>
        </w:rPr>
        <w:t xml:space="preserve">金先生         </w:t>
      </w:r>
    </w:p>
    <w:p w14:paraId="68238B0A">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w:t>
      </w:r>
      <w:r>
        <w:rPr>
          <w:rFonts w:hint="eastAsia"/>
          <w:highlight w:val="none"/>
          <w:vertAlign w:val="baseline"/>
          <w:lang w:val="en-US" w:eastAsia="zh-CN"/>
        </w:rPr>
        <w:t>18914665518</w:t>
      </w:r>
      <w:r>
        <w:rPr>
          <w:rFonts w:hint="eastAsia" w:ascii="宋体" w:hAnsi="宋体" w:eastAsia="宋体" w:cs="宋体"/>
          <w:i w:val="0"/>
          <w:iCs w:val="0"/>
          <w:caps w:val="0"/>
          <w:color w:val="auto"/>
          <w:spacing w:val="0"/>
          <w:sz w:val="24"/>
          <w:szCs w:val="24"/>
          <w:highlight w:val="none"/>
          <w:shd w:val="clear" w:color="auto" w:fill="auto"/>
          <w:lang w:val="en-US" w:eastAsia="zh-CN"/>
        </w:rPr>
        <w:t>　　　　　　　　　　　　</w:t>
      </w:r>
    </w:p>
    <w:p w14:paraId="2236ECF4">
      <w:pPr>
        <w:rPr>
          <w:color w:val="auto"/>
          <w:highlight w:val="none"/>
        </w:rPr>
      </w:pPr>
      <w:r>
        <w:rPr>
          <w:rFonts w:hint="eastAsia" w:ascii="仿宋" w:hAnsi="仿宋" w:eastAsia="仿宋" w:cs="仿宋"/>
          <w:b/>
          <w:color w:val="auto"/>
          <w:sz w:val="28"/>
          <w:szCs w:val="28"/>
          <w:highlight w:val="none"/>
          <w:shd w:val="clear" w:color="auto" w:fill="auto"/>
        </w:rPr>
        <w:br w:type="page"/>
      </w:r>
    </w:p>
    <w:p w14:paraId="71E101D8">
      <w:pPr>
        <w:pStyle w:val="16"/>
        <w:numPr>
          <w:ilvl w:val="0"/>
          <w:numId w:val="2"/>
        </w:numPr>
        <w:rPr>
          <w:rFonts w:hint="eastAsia"/>
          <w:color w:val="000000" w:themeColor="text1"/>
          <w:sz w:val="36"/>
          <w:szCs w:val="36"/>
          <w14:textFill>
            <w14:solidFill>
              <w14:schemeClr w14:val="tx1"/>
            </w14:solidFill>
          </w14:textFill>
        </w:rPr>
      </w:pPr>
      <w:bookmarkStart w:id="27" w:name="_Toc203032691"/>
      <w:r>
        <w:rPr>
          <w:rFonts w:hint="eastAsia"/>
          <w:color w:val="000000" w:themeColor="text1"/>
          <w:sz w:val="36"/>
          <w:szCs w:val="36"/>
          <w14:textFill>
            <w14:solidFill>
              <w14:schemeClr w14:val="tx1"/>
            </w14:solidFill>
          </w14:textFill>
        </w:rPr>
        <w:t xml:space="preserve"> 磋商须知</w:t>
      </w:r>
      <w:bookmarkEnd w:id="27"/>
    </w:p>
    <w:p w14:paraId="5531D05B">
      <w:pPr>
        <w:numPr>
          <w:ilvl w:val="0"/>
          <w:numId w:val="0"/>
        </w:numPr>
        <w:jc w:val="center"/>
      </w:pPr>
      <w:r>
        <w:rPr>
          <w:rFonts w:hint="eastAsia" w:ascii="宋体" w:hAnsi="宋体"/>
          <w:bCs/>
          <w:color w:val="000000" w:themeColor="text1"/>
          <w:sz w:val="24"/>
          <w14:textFill>
            <w14:solidFill>
              <w14:schemeClr w14:val="tx1"/>
            </w14:solidFill>
          </w14:textFill>
        </w:rPr>
        <w:t>（参加竞争性磋商的供应商以下简称“磋商供应商”）</w:t>
      </w:r>
    </w:p>
    <w:p w14:paraId="52D44FEC">
      <w:pPr>
        <w:pStyle w:val="15"/>
        <w:keepNext/>
        <w:keepLines/>
        <w:pageBreakBefore w:val="0"/>
        <w:widowControl w:val="0"/>
        <w:kinsoku/>
        <w:wordWrap/>
        <w:overflowPunct/>
        <w:topLinePunct w:val="0"/>
        <w:autoSpaceDE/>
        <w:autoSpaceDN/>
        <w:bidi w:val="0"/>
        <w:adjustRightInd/>
        <w:snapToGrid/>
        <w:spacing w:before="145" w:beforeAutospacing="0" w:after="145" w:afterAutospacing="0" w:line="440" w:lineRule="exact"/>
        <w:ind w:firstLine="498"/>
        <w:jc w:val="both"/>
        <w:textAlignment w:val="auto"/>
        <w:rPr>
          <w:rFonts w:hint="eastAsia" w:ascii="宋体" w:hAnsi="宋体" w:eastAsia="宋体" w:cs="宋体"/>
          <w:color w:val="auto"/>
          <w:sz w:val="24"/>
          <w:szCs w:val="24"/>
          <w:highlight w:val="none"/>
        </w:rPr>
      </w:pPr>
      <w:bookmarkStart w:id="28" w:name="_Toc20823275"/>
      <w:bookmarkStart w:id="29" w:name="_Toc16938519"/>
      <w:bookmarkStart w:id="30" w:name="_Toc120614214"/>
      <w:bookmarkStart w:id="31" w:name="_Toc513029203"/>
      <w:r>
        <w:rPr>
          <w:rFonts w:hint="eastAsia" w:ascii="宋体" w:hAnsi="宋体" w:eastAsia="宋体" w:cs="宋体"/>
          <w:b/>
          <w:color w:val="auto"/>
          <w:sz w:val="24"/>
          <w:szCs w:val="24"/>
          <w:highlight w:val="none"/>
        </w:rPr>
        <w:t>一、总则</w:t>
      </w:r>
      <w:bookmarkEnd w:id="28"/>
      <w:bookmarkEnd w:id="29"/>
      <w:bookmarkEnd w:id="30"/>
      <w:bookmarkEnd w:id="31"/>
    </w:p>
    <w:p w14:paraId="3AA919CD">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32" w:name="_Toc20823276"/>
      <w:bookmarkStart w:id="33" w:name="_Toc16938520"/>
      <w:bookmarkStart w:id="34" w:name="_Toc458694821"/>
      <w:bookmarkStart w:id="35" w:name="_Toc513029204"/>
      <w:bookmarkStart w:id="36" w:name="_Hlt16619475"/>
      <w:r>
        <w:rPr>
          <w:rFonts w:hint="eastAsia" w:ascii="宋体" w:hAnsi="宋体" w:eastAsia="宋体" w:cs="宋体"/>
          <w:color w:val="auto"/>
          <w:sz w:val="24"/>
          <w:szCs w:val="24"/>
          <w:highlight w:val="none"/>
        </w:rPr>
        <w:t>1</w:t>
      </w:r>
      <w:bookmarkEnd w:id="32"/>
      <w:r>
        <w:rPr>
          <w:rFonts w:hint="eastAsia" w:ascii="宋体" w:hAnsi="宋体" w:eastAsia="宋体" w:cs="宋体"/>
          <w:color w:val="auto"/>
          <w:sz w:val="24"/>
          <w:szCs w:val="24"/>
          <w:highlight w:val="none"/>
        </w:rPr>
        <w:t>、采购方式</w:t>
      </w:r>
      <w:bookmarkEnd w:id="33"/>
      <w:bookmarkEnd w:id="34"/>
      <w:bookmarkEnd w:id="35"/>
    </w:p>
    <w:p w14:paraId="4F29A25A">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本次政府采购活动采取竞争性磋商(以下简称磋商)方式，本磋商文件仅适用于磋商公告中所述项目。</w:t>
      </w:r>
    </w:p>
    <w:p w14:paraId="66C24DC5">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37" w:name="_Toc20823277"/>
      <w:bookmarkStart w:id="38" w:name="_Toc16938521"/>
      <w:bookmarkStart w:id="39" w:name="_Toc513029205"/>
      <w:r>
        <w:rPr>
          <w:rFonts w:hint="eastAsia" w:ascii="宋体" w:hAnsi="宋体" w:eastAsia="宋体" w:cs="宋体"/>
          <w:color w:val="auto"/>
          <w:sz w:val="24"/>
          <w:szCs w:val="24"/>
          <w:highlight w:val="none"/>
        </w:rPr>
        <w:t>2、合格的</w:t>
      </w:r>
      <w:bookmarkEnd w:id="37"/>
      <w:bookmarkEnd w:id="38"/>
      <w:bookmarkEnd w:id="39"/>
      <w:r>
        <w:rPr>
          <w:rFonts w:hint="eastAsia" w:ascii="宋体" w:hAnsi="宋体" w:eastAsia="宋体" w:cs="宋体"/>
          <w:color w:val="auto"/>
          <w:sz w:val="24"/>
          <w:szCs w:val="24"/>
          <w:highlight w:val="none"/>
        </w:rPr>
        <w:t>供应商</w:t>
      </w:r>
    </w:p>
    <w:p w14:paraId="1A196F40">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76E76C1D">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满足本磋商文件实质性要求和条件的规定。</w:t>
      </w:r>
    </w:p>
    <w:p w14:paraId="4170807A">
      <w:pPr>
        <w:pageBreakBefore w:val="0"/>
        <w:widowControl w:val="0"/>
        <w:kinsoku/>
        <w:wordWrap/>
        <w:overflowPunct/>
        <w:topLinePunct w:val="0"/>
        <w:autoSpaceDE/>
        <w:autoSpaceDN/>
        <w:bidi w:val="0"/>
        <w:adjustRightInd/>
        <w:snapToGrid/>
        <w:spacing w:line="440" w:lineRule="exact"/>
        <w:ind w:firstLine="420" w:firstLineChars="175"/>
        <w:textAlignment w:val="auto"/>
        <w:rPr>
          <w:rFonts w:hint="eastAsia" w:ascii="方正魏碑_GBK" w:hAnsi="方正魏碑_GBK" w:eastAsia="方正魏碑_GBK" w:cs="方正魏碑_GBK"/>
          <w:color w:val="auto"/>
          <w:sz w:val="24"/>
          <w:szCs w:val="21"/>
        </w:rPr>
      </w:pPr>
      <w:bookmarkStart w:id="40" w:name="_Toc513029206"/>
      <w:bookmarkStart w:id="41" w:name="_Toc20823278"/>
      <w:bookmarkStart w:id="42" w:name="_Toc16938522"/>
      <w:bookmarkStart w:id="43" w:name="_Toc513029207"/>
      <w:bookmarkStart w:id="44" w:name="_Toc20823279"/>
      <w:bookmarkStart w:id="45" w:name="_Toc462564067"/>
      <w:bookmarkStart w:id="46" w:name="_Toc16938523"/>
      <w:r>
        <w:rPr>
          <w:rFonts w:hint="eastAsia" w:ascii="方正魏碑_GBK" w:hAnsi="方正魏碑_GBK" w:eastAsia="方正魏碑_GBK" w:cs="方正魏碑_GBK"/>
          <w:color w:val="auto"/>
          <w:sz w:val="24"/>
          <w:szCs w:val="21"/>
        </w:rPr>
        <w:t>3、适用法律</w:t>
      </w:r>
      <w:bookmarkEnd w:id="40"/>
      <w:bookmarkEnd w:id="41"/>
      <w:bookmarkEnd w:id="42"/>
      <w:r>
        <w:rPr>
          <w:rFonts w:hint="eastAsia" w:ascii="方正魏碑_GBK" w:hAnsi="方正魏碑_GBK" w:eastAsia="方正魏碑_GBK" w:cs="方正魏碑_GBK"/>
          <w:color w:val="auto"/>
          <w:sz w:val="24"/>
          <w:szCs w:val="21"/>
        </w:rPr>
        <w:t>和标准</w:t>
      </w:r>
    </w:p>
    <w:p w14:paraId="60757E93">
      <w:pPr>
        <w:pStyle w:val="15"/>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4852B66C">
      <w:pPr>
        <w:pStyle w:val="15"/>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在本项目政府采购活动过程中，如果所执行的标准有更新的，按照最新标准执行。</w:t>
      </w:r>
    </w:p>
    <w:p w14:paraId="3E61F9DA">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4、磋商费用</w:t>
      </w:r>
      <w:bookmarkEnd w:id="43"/>
      <w:bookmarkEnd w:id="44"/>
      <w:bookmarkEnd w:id="45"/>
      <w:bookmarkEnd w:id="46"/>
    </w:p>
    <w:p w14:paraId="0F5EF32F">
      <w:pPr>
        <w:spacing w:line="440" w:lineRule="exact"/>
        <w:ind w:firstLine="480"/>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4.1</w:t>
      </w:r>
      <w:r>
        <w:rPr>
          <w:rFonts w:hint="eastAsia" w:ascii="宋体" w:hAnsi="宋体"/>
          <w:color w:val="000000" w:themeColor="text1"/>
          <w:sz w:val="24"/>
          <w14:textFill>
            <w14:solidFill>
              <w14:schemeClr w14:val="tx1"/>
            </w14:solidFill>
          </w14:textFill>
        </w:rPr>
        <w:t>供应商应自行承担所有与参加本次磋商有关的费用，无论磋商过程中的做法和结果如何，采购人及采购代理公司（以下简称“代理公司”）任何情况下均无义务和责任承担这些费用。</w:t>
      </w:r>
    </w:p>
    <w:p w14:paraId="0227810F">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u w:val="none"/>
        </w:rPr>
      </w:pPr>
      <w:r>
        <w:rPr>
          <w:rFonts w:hint="eastAsia" w:ascii="宋体" w:hAnsi="宋体" w:cs="宋体"/>
          <w:color w:val="000000" w:themeColor="text1"/>
          <w:sz w:val="24"/>
          <w14:textFill>
            <w14:solidFill>
              <w14:schemeClr w14:val="tx1"/>
            </w14:solidFill>
          </w14:textFill>
        </w:rPr>
        <w:t>4.2本项目</w:t>
      </w:r>
      <w:r>
        <w:rPr>
          <w:rFonts w:hint="eastAsia" w:ascii="宋体" w:hAnsi="宋体"/>
          <w:color w:val="000000" w:themeColor="text1"/>
          <w:sz w:val="24"/>
          <w14:textFill>
            <w14:solidFill>
              <w14:schemeClr w14:val="tx1"/>
            </w14:solidFill>
          </w14:textFill>
        </w:rPr>
        <w:t>磋商服务费</w:t>
      </w:r>
      <w:r>
        <w:rPr>
          <w:rFonts w:hint="eastAsia" w:ascii="宋体" w:hAnsi="宋体"/>
          <w:color w:val="000000" w:themeColor="text1"/>
          <w:sz w:val="24"/>
          <w:lang w:eastAsia="zh-CN"/>
          <w14:textFill>
            <w14:solidFill>
              <w14:schemeClr w14:val="tx1"/>
            </w14:solidFill>
          </w14:textFill>
        </w:rPr>
        <w:t>：</w:t>
      </w:r>
      <w:r>
        <w:rPr>
          <w:rFonts w:hint="eastAsia" w:ascii="宋体" w:hAnsi="宋体"/>
          <w:bCs/>
          <w:color w:val="000000" w:themeColor="text1"/>
          <w:sz w:val="24"/>
          <w:u w:val="none"/>
          <w14:textFill>
            <w14:solidFill>
              <w14:schemeClr w14:val="tx1"/>
            </w14:solidFill>
          </w14:textFill>
        </w:rPr>
        <w:t>招标代理费:按照苏招协[2022】002号文件规定标准的计取;造价咨询费:按照苏建价协(2022)7号文件规定标准的计取。由中标人</w:t>
      </w:r>
      <w:r>
        <w:rPr>
          <w:rFonts w:hint="eastAsia" w:ascii="宋体" w:hAnsi="宋体"/>
          <w:bCs/>
          <w:color w:val="000000" w:themeColor="text1"/>
          <w:sz w:val="24"/>
          <w:u w:val="none"/>
          <w:lang w:val="en-US" w:eastAsia="zh-CN"/>
          <w14:textFill>
            <w14:solidFill>
              <w14:schemeClr w14:val="tx1"/>
            </w14:solidFill>
          </w14:textFill>
        </w:rPr>
        <w:t>在领取中标通知书时</w:t>
      </w:r>
      <w:r>
        <w:rPr>
          <w:rFonts w:hint="eastAsia" w:ascii="宋体" w:hAnsi="宋体"/>
          <w:bCs/>
          <w:color w:val="000000" w:themeColor="text1"/>
          <w:sz w:val="24"/>
          <w:u w:val="none"/>
          <w14:textFill>
            <w14:solidFill>
              <w14:schemeClr w14:val="tx1"/>
            </w14:solidFill>
          </w14:textFill>
        </w:rPr>
        <w:t>向代理公司支付</w:t>
      </w:r>
      <w:r>
        <w:rPr>
          <w:rFonts w:hint="eastAsia" w:ascii="宋体" w:hAnsi="宋体" w:cs="宋体"/>
          <w:color w:val="000000" w:themeColor="text1"/>
          <w:sz w:val="24"/>
          <w:u w:val="none"/>
          <w14:textFill>
            <w14:solidFill>
              <w14:schemeClr w14:val="tx1"/>
            </w14:solidFill>
          </w14:textFill>
        </w:rPr>
        <w:t>。请投标人考虑在投标报价</w:t>
      </w:r>
      <w:r>
        <w:rPr>
          <w:rFonts w:hint="eastAsia" w:ascii="宋体" w:hAnsi="宋体"/>
          <w:color w:val="000000" w:themeColor="text1"/>
          <w:sz w:val="24"/>
          <w:u w:val="none"/>
          <w14:textFill>
            <w14:solidFill>
              <w14:schemeClr w14:val="tx1"/>
            </w14:solidFill>
          </w14:textFill>
        </w:rPr>
        <w:t>中（此项费用投标人在投标报价中不得单独列出）</w:t>
      </w:r>
      <w:r>
        <w:rPr>
          <w:rFonts w:hint="eastAsia" w:ascii="宋体" w:hAnsi="宋体" w:eastAsia="宋体" w:cs="宋体"/>
          <w:color w:val="auto"/>
          <w:sz w:val="24"/>
          <w:szCs w:val="24"/>
          <w:highlight w:val="none"/>
          <w:u w:val="none"/>
        </w:rPr>
        <w:t>。</w:t>
      </w:r>
    </w:p>
    <w:p w14:paraId="43C27EB4">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301"/>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eastAsia="宋体" w:cs="宋体"/>
          <w:color w:val="auto"/>
          <w:sz w:val="24"/>
          <w:szCs w:val="24"/>
          <w:highlight w:val="none"/>
        </w:rPr>
        <w:t>磋商文件的约束力</w:t>
      </w:r>
    </w:p>
    <w:p w14:paraId="6701A711">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7671F4DA">
      <w:pPr>
        <w:pStyle w:val="15"/>
        <w:keepNext/>
        <w:keepLines/>
        <w:pageBreakBefore w:val="0"/>
        <w:widowControl w:val="0"/>
        <w:kinsoku/>
        <w:wordWrap/>
        <w:overflowPunct/>
        <w:topLinePunct w:val="0"/>
        <w:autoSpaceDE/>
        <w:autoSpaceDN/>
        <w:bidi w:val="0"/>
        <w:adjustRightInd/>
        <w:snapToGrid/>
        <w:spacing w:before="145" w:beforeAutospacing="0" w:after="145" w:afterAutospacing="0" w:line="440" w:lineRule="exact"/>
        <w:ind w:firstLine="321"/>
        <w:jc w:val="both"/>
        <w:textAlignment w:val="auto"/>
        <w:rPr>
          <w:rFonts w:hint="eastAsia" w:ascii="宋体" w:hAnsi="宋体" w:eastAsia="宋体" w:cs="宋体"/>
          <w:color w:val="auto"/>
          <w:sz w:val="24"/>
          <w:szCs w:val="24"/>
          <w:highlight w:val="none"/>
        </w:rPr>
      </w:pPr>
      <w:bookmarkStart w:id="47" w:name="_Toc20823281"/>
      <w:bookmarkStart w:id="48" w:name="_Toc16938525"/>
      <w:bookmarkStart w:id="49" w:name="_Toc513029209"/>
      <w:bookmarkStart w:id="50" w:name="_Toc120614215"/>
      <w:r>
        <w:rPr>
          <w:rFonts w:hint="eastAsia" w:ascii="宋体" w:hAnsi="宋体" w:eastAsia="宋体" w:cs="宋体"/>
          <w:b/>
          <w:color w:val="auto"/>
          <w:sz w:val="24"/>
          <w:szCs w:val="24"/>
          <w:highlight w:val="none"/>
        </w:rPr>
        <w:t>二、</w:t>
      </w:r>
      <w:bookmarkEnd w:id="47"/>
      <w:bookmarkEnd w:id="48"/>
      <w:bookmarkEnd w:id="49"/>
      <w:bookmarkEnd w:id="50"/>
      <w:r>
        <w:rPr>
          <w:rFonts w:hint="eastAsia" w:ascii="宋体" w:hAnsi="宋体" w:eastAsia="宋体" w:cs="宋体"/>
          <w:b/>
          <w:color w:val="auto"/>
          <w:sz w:val="24"/>
          <w:szCs w:val="24"/>
          <w:highlight w:val="none"/>
        </w:rPr>
        <w:t>磋商文件</w:t>
      </w:r>
    </w:p>
    <w:p w14:paraId="25AEF5F0">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51" w:name="_Toc513029210"/>
      <w:bookmarkStart w:id="52" w:name="_Toc20823282"/>
      <w:bookmarkStart w:id="53" w:name="_Toc16938526"/>
      <w:r>
        <w:rPr>
          <w:rFonts w:hint="eastAsia" w:ascii="宋体" w:hAnsi="宋体" w:eastAsia="宋体" w:cs="宋体"/>
          <w:color w:val="auto"/>
          <w:sz w:val="24"/>
          <w:szCs w:val="24"/>
          <w:highlight w:val="none"/>
        </w:rPr>
        <w:t>6、磋商文件构成</w:t>
      </w:r>
      <w:bookmarkEnd w:id="51"/>
      <w:bookmarkEnd w:id="52"/>
      <w:bookmarkEnd w:id="53"/>
    </w:p>
    <w:p w14:paraId="41D85CF5">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0A59C4C1">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w:t>
      </w:r>
      <w:r>
        <w:rPr>
          <w:rFonts w:hint="eastAsia" w:ascii="宋体" w:hAnsi="宋体" w:eastAsia="宋体" w:cs="宋体"/>
          <w:color w:val="auto"/>
          <w:sz w:val="24"/>
          <w:szCs w:val="24"/>
          <w:highlight w:val="none"/>
          <w:lang w:val="en-US" w:eastAsia="zh-CN"/>
        </w:rPr>
        <w:t>公告</w:t>
      </w:r>
    </w:p>
    <w:p w14:paraId="758E6AFB">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3AAD8EF0">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63A2663C">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3FF9ACB5">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58DF4289">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43B6C25F">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联系解决。</w:t>
      </w:r>
    </w:p>
    <w:p w14:paraId="2BAC0C0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226E4E3">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宋体" w:hAnsi="宋体" w:eastAsia="宋体" w:cs="宋体"/>
          <w:color w:val="auto"/>
          <w:sz w:val="24"/>
          <w:szCs w:val="24"/>
          <w:highlight w:val="none"/>
        </w:rPr>
      </w:pPr>
      <w:bookmarkStart w:id="54" w:name="_Toc16938527"/>
      <w:bookmarkStart w:id="55" w:name="_Toc513029211"/>
      <w:bookmarkStart w:id="56" w:name="_Toc462564070"/>
      <w:bookmarkStart w:id="57" w:name="_Toc20823283"/>
      <w:r>
        <w:rPr>
          <w:rFonts w:hint="eastAsia" w:ascii="宋体" w:hAnsi="宋体" w:eastAsia="宋体" w:cs="宋体"/>
          <w:color w:val="auto"/>
          <w:sz w:val="24"/>
          <w:szCs w:val="24"/>
          <w:highlight w:val="none"/>
        </w:rPr>
        <w:t>7、磋商文件的澄清</w:t>
      </w:r>
      <w:bookmarkEnd w:id="54"/>
      <w:bookmarkEnd w:id="55"/>
      <w:bookmarkEnd w:id="56"/>
      <w:bookmarkEnd w:id="57"/>
    </w:p>
    <w:p w14:paraId="25FA5E88">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任何要求对磋商文件进行澄清的供应商，应在磋商截止期5日前按磋商公告中的通讯地址，</w:t>
      </w:r>
      <w:r>
        <w:rPr>
          <w:rFonts w:hint="eastAsia" w:ascii="宋体" w:hAnsi="宋体"/>
          <w:color w:val="000000" w:themeColor="text1"/>
          <w:sz w:val="24"/>
          <w14:textFill>
            <w14:solidFill>
              <w14:schemeClr w14:val="tx1"/>
            </w14:solidFill>
          </w14:textFill>
        </w:rPr>
        <w:t>以书面形式通知代理公司</w:t>
      </w:r>
      <w:r>
        <w:rPr>
          <w:rFonts w:hint="eastAsia" w:ascii="宋体" w:hAnsi="宋体" w:eastAsia="宋体" w:cs="宋体"/>
          <w:color w:val="auto"/>
          <w:sz w:val="24"/>
          <w:szCs w:val="24"/>
          <w:highlight w:val="none"/>
        </w:rPr>
        <w:t>。</w:t>
      </w:r>
    </w:p>
    <w:p w14:paraId="318D53BA">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560"/>
        <w:jc w:val="both"/>
        <w:textAlignment w:val="auto"/>
        <w:rPr>
          <w:rFonts w:hint="eastAsia" w:ascii="宋体" w:hAnsi="宋体" w:eastAsia="宋体" w:cs="宋体"/>
          <w:color w:val="auto"/>
          <w:sz w:val="24"/>
          <w:szCs w:val="24"/>
          <w:highlight w:val="none"/>
        </w:rPr>
      </w:pPr>
      <w:bookmarkStart w:id="58" w:name="_Toc462564071"/>
      <w:bookmarkStart w:id="59" w:name="_Toc16938528"/>
      <w:bookmarkStart w:id="60" w:name="_Toc20823284"/>
      <w:bookmarkStart w:id="61" w:name="_Toc513029212"/>
      <w:r>
        <w:rPr>
          <w:rFonts w:hint="eastAsia" w:ascii="宋体" w:hAnsi="宋体" w:eastAsia="宋体" w:cs="宋体"/>
          <w:color w:val="auto"/>
          <w:sz w:val="24"/>
          <w:szCs w:val="24"/>
          <w:highlight w:val="none"/>
        </w:rPr>
        <w:t>8、磋商文件的澄清和修改</w:t>
      </w:r>
      <w:bookmarkEnd w:id="58"/>
      <w:bookmarkEnd w:id="59"/>
      <w:bookmarkEnd w:id="60"/>
      <w:bookmarkEnd w:id="61"/>
    </w:p>
    <w:p w14:paraId="42837AE6">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在响应文件提交截止时间前，</w:t>
      </w:r>
      <w:r>
        <w:rPr>
          <w:rFonts w:hint="eastAsia" w:ascii="宋体" w:hAnsi="宋体"/>
          <w:color w:val="000000" w:themeColor="text1"/>
          <w:sz w:val="24"/>
          <w14:textFill>
            <w14:solidFill>
              <w14:schemeClr w14:val="tx1"/>
            </w14:solidFill>
          </w14:textFill>
        </w:rPr>
        <w:t>代理公司</w:t>
      </w:r>
      <w:r>
        <w:rPr>
          <w:rFonts w:hint="eastAsia" w:ascii="宋体" w:hAnsi="宋体" w:eastAsia="宋体" w:cs="宋体"/>
          <w:color w:val="auto"/>
          <w:sz w:val="24"/>
          <w:szCs w:val="24"/>
          <w:highlight w:val="none"/>
        </w:rPr>
        <w:t>可以对磋商文件进行澄清和修改, 澄清或者修改的内容作为磋商文件的组成部分。澄清或者修改的内容可能影响响应文件编制的，</w:t>
      </w:r>
      <w:r>
        <w:rPr>
          <w:rFonts w:hint="eastAsia" w:ascii="宋体" w:hAnsi="宋体"/>
          <w:color w:val="000000" w:themeColor="text1"/>
          <w:sz w:val="24"/>
          <w14:textFill>
            <w14:solidFill>
              <w14:schemeClr w14:val="tx1"/>
            </w14:solidFill>
          </w14:textFill>
        </w:rPr>
        <w:t>代理公司</w:t>
      </w:r>
      <w:r>
        <w:rPr>
          <w:rFonts w:hint="eastAsia" w:ascii="宋体" w:hAnsi="宋体" w:eastAsia="宋体" w:cs="宋体"/>
          <w:color w:val="auto"/>
          <w:sz w:val="24"/>
          <w:szCs w:val="24"/>
          <w:highlight w:val="none"/>
        </w:rPr>
        <w:t>将在提交首次响应文件截止时间至少5日前，在“</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盐城市政府采购网”上发布书面更正公告形式通知所有获取磋商文件的供应商, 更正公告内容将作为磋商文件的组成部分，并对供应商具有约束力。不足5日的，</w:t>
      </w:r>
      <w:r>
        <w:rPr>
          <w:rFonts w:hint="eastAsia" w:ascii="宋体" w:hAnsi="宋体"/>
          <w:color w:val="000000" w:themeColor="text1"/>
          <w:sz w:val="24"/>
          <w14:textFill>
            <w14:solidFill>
              <w14:schemeClr w14:val="tx1"/>
            </w14:solidFill>
          </w14:textFill>
        </w:rPr>
        <w:t>代理公司</w:t>
      </w:r>
      <w:r>
        <w:rPr>
          <w:rFonts w:hint="eastAsia" w:ascii="宋体" w:hAnsi="宋体" w:eastAsia="宋体" w:cs="宋体"/>
          <w:color w:val="auto"/>
          <w:sz w:val="24"/>
          <w:szCs w:val="24"/>
          <w:highlight w:val="none"/>
        </w:rPr>
        <w:t>将顺延提交首次响应文件截止时间。</w:t>
      </w:r>
    </w:p>
    <w:p w14:paraId="459D8213">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color w:val="000000" w:themeColor="text1"/>
          <w:sz w:val="24"/>
          <w14:textFill>
            <w14:solidFill>
              <w14:schemeClr w14:val="tx1"/>
            </w14:solidFill>
          </w14:textFill>
        </w:rPr>
        <w:t>代理公司</w:t>
      </w:r>
      <w:r>
        <w:rPr>
          <w:rFonts w:hint="eastAsia" w:ascii="宋体" w:hAnsi="宋体" w:eastAsia="宋体" w:cs="宋体"/>
          <w:color w:val="auto"/>
          <w:sz w:val="24"/>
          <w:szCs w:val="24"/>
          <w:highlight w:val="none"/>
        </w:rPr>
        <w:t>可以视采购项目的具体情况，组织供应商进行现场考察或召开磋商前答疑会，但不单独或分别组织只有一个供应商参加的现场考察和答疑会。</w:t>
      </w:r>
    </w:p>
    <w:p w14:paraId="64D59BE3">
      <w:pPr>
        <w:pStyle w:val="15"/>
        <w:keepNext/>
        <w:keepLines/>
        <w:pageBreakBefore w:val="0"/>
        <w:widowControl w:val="0"/>
        <w:kinsoku/>
        <w:wordWrap/>
        <w:overflowPunct/>
        <w:topLinePunct w:val="0"/>
        <w:autoSpaceDE/>
        <w:autoSpaceDN/>
        <w:bidi w:val="0"/>
        <w:adjustRightInd/>
        <w:snapToGrid/>
        <w:spacing w:before="145" w:beforeAutospacing="0" w:after="145" w:afterAutospacing="0" w:line="240" w:lineRule="auto"/>
        <w:ind w:firstLine="482"/>
        <w:jc w:val="both"/>
        <w:textAlignment w:val="auto"/>
        <w:rPr>
          <w:rFonts w:hint="eastAsia" w:ascii="宋体" w:hAnsi="宋体" w:eastAsia="宋体" w:cs="宋体"/>
          <w:color w:val="auto"/>
          <w:sz w:val="24"/>
          <w:szCs w:val="24"/>
          <w:highlight w:val="none"/>
        </w:rPr>
      </w:pPr>
      <w:bookmarkStart w:id="62" w:name="_Toc513029213"/>
      <w:bookmarkStart w:id="63" w:name="_Toc462564072"/>
      <w:bookmarkStart w:id="64" w:name="_Toc120614216"/>
      <w:bookmarkStart w:id="65" w:name="_Toc16938529"/>
      <w:bookmarkStart w:id="66" w:name="_Toc20823285"/>
      <w:r>
        <w:rPr>
          <w:rFonts w:hint="eastAsia" w:ascii="宋体" w:hAnsi="宋体" w:eastAsia="宋体" w:cs="宋体"/>
          <w:b/>
          <w:color w:val="auto"/>
          <w:sz w:val="24"/>
          <w:szCs w:val="24"/>
          <w:highlight w:val="none"/>
        </w:rPr>
        <w:t>三、响应文件的编制</w:t>
      </w:r>
      <w:bookmarkEnd w:id="62"/>
      <w:bookmarkEnd w:id="63"/>
      <w:bookmarkEnd w:id="64"/>
      <w:bookmarkEnd w:id="65"/>
      <w:bookmarkEnd w:id="66"/>
    </w:p>
    <w:p w14:paraId="02D221D0">
      <w:pPr>
        <w:pStyle w:val="15"/>
        <w:keepNext/>
        <w:keepLines/>
        <w:pageBreakBefore w:val="0"/>
        <w:widowControl w:val="0"/>
        <w:kinsoku/>
        <w:wordWrap/>
        <w:overflowPunct/>
        <w:topLinePunct w:val="0"/>
        <w:autoSpaceDE/>
        <w:autoSpaceDN/>
        <w:bidi w:val="0"/>
        <w:adjustRightInd/>
        <w:snapToGrid/>
        <w:spacing w:beforeAutospacing="0" w:afterAutospacing="0" w:line="240" w:lineRule="auto"/>
        <w:ind w:firstLine="560"/>
        <w:jc w:val="both"/>
        <w:textAlignment w:val="auto"/>
        <w:rPr>
          <w:rFonts w:hint="eastAsia" w:ascii="宋体" w:hAnsi="宋体" w:eastAsia="宋体" w:cs="宋体"/>
          <w:color w:val="auto"/>
          <w:sz w:val="24"/>
          <w:szCs w:val="24"/>
          <w:highlight w:val="none"/>
        </w:rPr>
      </w:pPr>
      <w:bookmarkStart w:id="67" w:name="_Toc20823286"/>
      <w:bookmarkStart w:id="68" w:name="_Toc16938530"/>
      <w:bookmarkStart w:id="69" w:name="_Toc462564073"/>
      <w:bookmarkStart w:id="70" w:name="_Toc513029214"/>
      <w:r>
        <w:rPr>
          <w:rFonts w:hint="eastAsia" w:ascii="宋体" w:hAnsi="宋体" w:eastAsia="宋体" w:cs="宋体"/>
          <w:color w:val="auto"/>
          <w:sz w:val="24"/>
          <w:szCs w:val="24"/>
          <w:highlight w:val="none"/>
        </w:rPr>
        <w:t>9、响应文件的语言及度量衡单位</w:t>
      </w:r>
      <w:bookmarkEnd w:id="67"/>
      <w:bookmarkEnd w:id="68"/>
      <w:bookmarkEnd w:id="69"/>
      <w:bookmarkEnd w:id="70"/>
    </w:p>
    <w:p w14:paraId="7EBE4620">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就有关磋商的所有来往通知、函件和文件均应使用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7C6A95F4">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除技术性能另有规定外，响应文件所使用的度量衡单位，均须采用国家法定计量单位。</w:t>
      </w:r>
    </w:p>
    <w:p w14:paraId="07798DA0">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71" w:name="_Toc462564074"/>
      <w:bookmarkStart w:id="72" w:name="_Toc16938531"/>
      <w:bookmarkStart w:id="73" w:name="_Toc20823287"/>
      <w:bookmarkStart w:id="74" w:name="_Toc513029215"/>
      <w:r>
        <w:rPr>
          <w:rFonts w:hint="eastAsia" w:ascii="宋体" w:hAnsi="宋体" w:eastAsia="宋体" w:cs="宋体"/>
          <w:color w:val="auto"/>
          <w:sz w:val="24"/>
          <w:szCs w:val="24"/>
          <w:highlight w:val="none"/>
        </w:rPr>
        <w:t>10、响应文件构成</w:t>
      </w:r>
      <w:bookmarkEnd w:id="71"/>
      <w:bookmarkEnd w:id="72"/>
      <w:bookmarkEnd w:id="73"/>
      <w:bookmarkEnd w:id="74"/>
    </w:p>
    <w:p w14:paraId="448AC452">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10.1供应商编写的响应文件应包括资格证明文件、符合性证明文件、分项报价表、技术要求响应及偏离表、商务要求响应及偏离表、其他证明文件、磋商响应函等部分。</w:t>
      </w:r>
    </w:p>
    <w:p w14:paraId="09D67DEF">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如标书制作工具中格式和内容与“</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盐城市政府采购网”发布的磋商文件不一致，请以“</w:t>
      </w:r>
      <w:r>
        <w:rPr>
          <w:rFonts w:hint="eastAsia" w:ascii="宋体" w:hAnsi="宋体" w:eastAsia="宋体" w:cs="宋体"/>
          <w:color w:val="auto"/>
          <w:kern w:val="0"/>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盐城市政府采购网”发布的磋商文件为准。</w:t>
      </w:r>
    </w:p>
    <w:p w14:paraId="523CDFE3">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75" w:name="_Toc513029216"/>
      <w:bookmarkStart w:id="76" w:name="_Toc49090507"/>
      <w:bookmarkStart w:id="77" w:name="_Toc14577355"/>
      <w:bookmarkStart w:id="78" w:name="_Toc49090509"/>
      <w:bookmarkStart w:id="79" w:name="_Toc14577354"/>
      <w:bookmarkStart w:id="80" w:name="_Toc513029219"/>
      <w:bookmarkStart w:id="81" w:name="_Toc14577357"/>
      <w:bookmarkStart w:id="82" w:name="_Toc49090508"/>
      <w:bookmarkStart w:id="83" w:name="_Hlt26668975"/>
      <w:bookmarkStart w:id="84" w:name="_Hlt26670360"/>
      <w:bookmarkStart w:id="85" w:name="_Hlt26954838"/>
      <w:r>
        <w:rPr>
          <w:rFonts w:hint="eastAsia" w:ascii="宋体" w:hAnsi="宋体" w:eastAsia="宋体" w:cs="宋体"/>
          <w:color w:val="auto"/>
          <w:sz w:val="24"/>
          <w:szCs w:val="24"/>
          <w:highlight w:val="none"/>
        </w:rPr>
        <w:t>11、证明磋商响应标的符合磋商文件规定的文件</w:t>
      </w:r>
      <w:bookmarkEnd w:id="75"/>
      <w:bookmarkEnd w:id="76"/>
      <w:bookmarkEnd w:id="77"/>
      <w:bookmarkEnd w:id="78"/>
      <w:bookmarkEnd w:id="79"/>
      <w:bookmarkEnd w:id="80"/>
      <w:bookmarkEnd w:id="81"/>
      <w:bookmarkEnd w:id="82"/>
    </w:p>
    <w:p w14:paraId="7777AC40">
      <w:pPr>
        <w:pStyle w:val="15"/>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11.1供应商应按照磋商文件要求提交证明文件，证明其及磋商响应标的符合磋商文件规定。</w:t>
      </w:r>
    </w:p>
    <w:p w14:paraId="7591D6CE">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12B07A76">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cs="宋体"/>
          <w:color w:val="000000" w:themeColor="text1"/>
          <w:sz w:val="24"/>
          <w14:textFill>
            <w14:solidFill>
              <w14:schemeClr w14:val="tx1"/>
            </w14:solidFill>
          </w14:textFill>
        </w:rPr>
        <w:t>已标价的工程量清单报价表</w:t>
      </w:r>
    </w:p>
    <w:p w14:paraId="24B9452F">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r>
        <w:rPr>
          <w:rFonts w:hint="eastAsia" w:ascii="宋体" w:hAnsi="宋体" w:cs="宋体"/>
          <w:color w:val="000000" w:themeColor="text1"/>
          <w:sz w:val="24"/>
          <w14:textFill>
            <w14:solidFill>
              <w14:schemeClr w14:val="tx1"/>
            </w14:solidFill>
          </w14:textFill>
        </w:rPr>
        <w:t>供应商应按照磋商文件规定格式填报工程量清单报价表</w:t>
      </w:r>
      <w:r>
        <w:rPr>
          <w:rFonts w:hint="eastAsia" w:ascii="宋体" w:hAnsi="宋体" w:eastAsia="宋体" w:cs="宋体"/>
          <w:color w:val="auto"/>
          <w:sz w:val="24"/>
          <w:szCs w:val="24"/>
          <w:highlight w:val="none"/>
        </w:rPr>
        <w:t>。</w:t>
      </w:r>
    </w:p>
    <w:p w14:paraId="2B17754C">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5E1CAFA">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86" w:name="_Hlt26670486"/>
      <w:bookmarkStart w:id="87" w:name="_Hlt26670482"/>
      <w:bookmarkStart w:id="88" w:name="_Hlt26954846"/>
      <w:bookmarkStart w:id="89" w:name="_Hlt26954848"/>
      <w:bookmarkStart w:id="90" w:name="_Hlt26954731"/>
      <w:r>
        <w:rPr>
          <w:rFonts w:hint="eastAsia" w:ascii="宋体" w:hAnsi="宋体" w:eastAsia="宋体" w:cs="宋体"/>
          <w:color w:val="auto"/>
          <w:sz w:val="24"/>
          <w:szCs w:val="24"/>
          <w:highlight w:val="none"/>
        </w:rPr>
        <w:t>13、技术要求响应及偏离表、商务要求响应及偏离表</w:t>
      </w:r>
    </w:p>
    <w:p w14:paraId="5FF0FE19">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608E5F56">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8160F97">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450B0C54">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6E61F0A9">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41D4050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p w14:paraId="6510BE44">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91" w:name="_Toc14577359"/>
      <w:bookmarkStart w:id="92" w:name="_Toc49090510"/>
      <w:r>
        <w:rPr>
          <w:rFonts w:hint="eastAsia" w:ascii="宋体" w:hAnsi="宋体" w:eastAsia="宋体" w:cs="宋体"/>
          <w:color w:val="auto"/>
          <w:sz w:val="24"/>
          <w:szCs w:val="24"/>
          <w:highlight w:val="none"/>
        </w:rPr>
        <w:t>15、磋商响应函</w:t>
      </w:r>
      <w:bookmarkEnd w:id="91"/>
      <w:bookmarkEnd w:id="92"/>
    </w:p>
    <w:p w14:paraId="64CC5EF3">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6BF7378A">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93" w:name="_Toc49090511"/>
      <w:bookmarkStart w:id="94" w:name="_Toc14577360"/>
      <w:r>
        <w:rPr>
          <w:rFonts w:hint="eastAsia" w:ascii="宋体" w:hAnsi="宋体" w:eastAsia="宋体" w:cs="宋体"/>
          <w:color w:val="auto"/>
          <w:sz w:val="24"/>
          <w:szCs w:val="24"/>
          <w:highlight w:val="none"/>
        </w:rPr>
        <w:t>16、磋商有效期</w:t>
      </w:r>
      <w:bookmarkEnd w:id="93"/>
      <w:bookmarkEnd w:id="94"/>
    </w:p>
    <w:p w14:paraId="6B00E09C">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w:t>
      </w:r>
      <w:r>
        <w:rPr>
          <w:rFonts w:hint="eastAsia" w:ascii="宋体" w:hAnsi="宋体" w:cs="宋体"/>
          <w:color w:val="000000" w:themeColor="text1"/>
          <w:sz w:val="24"/>
          <w14:textFill>
            <w14:solidFill>
              <w14:schemeClr w14:val="tx1"/>
            </w14:solidFill>
          </w14:textFill>
        </w:rPr>
        <w:t>代理公司</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val="0"/>
          <w:bCs/>
          <w:color w:val="auto"/>
          <w:sz w:val="24"/>
          <w:szCs w:val="24"/>
          <w:highlight w:val="none"/>
          <w:u w:val="none"/>
          <w:lang w:val="en-US" w:eastAsia="zh-CN"/>
        </w:rPr>
        <w:t>九</w:t>
      </w:r>
      <w:r>
        <w:rPr>
          <w:rFonts w:hint="eastAsia" w:ascii="宋体" w:hAnsi="宋体" w:eastAsia="宋体" w:cs="宋体"/>
          <w:b w:val="0"/>
          <w:bCs/>
          <w:color w:val="auto"/>
          <w:sz w:val="24"/>
          <w:szCs w:val="24"/>
          <w:highlight w:val="none"/>
          <w:u w:val="none"/>
        </w:rPr>
        <w:t>十（</w:t>
      </w:r>
      <w:r>
        <w:rPr>
          <w:rFonts w:hint="eastAsia" w:ascii="宋体" w:hAnsi="宋体" w:eastAsia="宋体" w:cs="宋体"/>
          <w:b w:val="0"/>
          <w:bCs/>
          <w:color w:val="auto"/>
          <w:sz w:val="24"/>
          <w:szCs w:val="24"/>
          <w:highlight w:val="none"/>
          <w:u w:val="none"/>
          <w:lang w:val="en-US" w:eastAsia="zh-CN"/>
        </w:rPr>
        <w:t>9</w:t>
      </w:r>
      <w:r>
        <w:rPr>
          <w:rFonts w:hint="eastAsia" w:ascii="宋体" w:hAnsi="宋体" w:eastAsia="宋体" w:cs="宋体"/>
          <w:b w:val="0"/>
          <w:bCs/>
          <w:color w:val="auto"/>
          <w:sz w:val="24"/>
          <w:szCs w:val="24"/>
          <w:highlight w:val="none"/>
          <w:u w:val="none"/>
        </w:rPr>
        <w:t>0）天</w:t>
      </w:r>
      <w:r>
        <w:rPr>
          <w:rFonts w:hint="eastAsia" w:ascii="宋体" w:hAnsi="宋体" w:eastAsia="宋体" w:cs="宋体"/>
          <w:color w:val="auto"/>
          <w:sz w:val="24"/>
          <w:szCs w:val="24"/>
          <w:highlight w:val="none"/>
        </w:rPr>
        <w:t>。磋商有效期比规定短的将被视为非实质性响应磋商文件而予以拒绝。</w:t>
      </w:r>
    </w:p>
    <w:p w14:paraId="3F35B79F">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7A96D9C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的这一要求而放弃磋商，同意延长磋商有效期的供应商既不能要求也不允许修改其响应文件。受磋商有效期约束的所有权利与义务均延长至新的有效期。</w:t>
      </w:r>
    </w:p>
    <w:p w14:paraId="0020DEBC">
      <w:pPr>
        <w:pStyle w:val="15"/>
        <w:keepNext/>
        <w:keepLines/>
        <w:pageBreakBefore w:val="0"/>
        <w:widowControl w:val="0"/>
        <w:kinsoku/>
        <w:wordWrap/>
        <w:overflowPunct/>
        <w:topLinePunct w:val="0"/>
        <w:autoSpaceDE/>
        <w:autoSpaceDN/>
        <w:bidi w:val="0"/>
        <w:adjustRightInd/>
        <w:snapToGrid/>
        <w:spacing w:before="145" w:beforeAutospacing="0" w:after="145" w:afterAutospacing="0" w:line="440" w:lineRule="exact"/>
        <w:ind w:firstLine="482"/>
        <w:jc w:val="both"/>
        <w:textAlignment w:val="auto"/>
        <w:rPr>
          <w:rFonts w:hint="eastAsia" w:ascii="宋体" w:hAnsi="宋体" w:eastAsia="宋体" w:cs="宋体"/>
          <w:i w:val="0"/>
          <w:iCs w:val="0"/>
          <w:color w:val="auto"/>
          <w:sz w:val="24"/>
          <w:szCs w:val="24"/>
          <w:highlight w:val="none"/>
        </w:rPr>
      </w:pPr>
      <w:bookmarkStart w:id="95" w:name="_Toc20823296"/>
      <w:bookmarkStart w:id="96" w:name="_Toc513029224"/>
      <w:bookmarkStart w:id="97" w:name="_Toc120614217"/>
      <w:bookmarkStart w:id="98" w:name="_Toc16938540"/>
      <w:bookmarkStart w:id="99" w:name="_Hlt26954739"/>
      <w:bookmarkStart w:id="100" w:name="_Hlt26954852"/>
      <w:r>
        <w:rPr>
          <w:rFonts w:hint="eastAsia" w:ascii="宋体" w:hAnsi="宋体" w:eastAsia="宋体" w:cs="宋体"/>
          <w:b/>
          <w:i w:val="0"/>
          <w:iCs w:val="0"/>
          <w:color w:val="auto"/>
          <w:sz w:val="24"/>
          <w:szCs w:val="24"/>
          <w:highlight w:val="none"/>
        </w:rPr>
        <w:t>四、响应文件的递交</w:t>
      </w:r>
      <w:bookmarkEnd w:id="95"/>
      <w:bookmarkEnd w:id="96"/>
      <w:bookmarkEnd w:id="97"/>
      <w:bookmarkEnd w:id="98"/>
    </w:p>
    <w:p w14:paraId="54033AFA">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bookmarkStart w:id="101" w:name="_Toc16938541"/>
      <w:bookmarkStart w:id="102" w:name="_Toc513029225"/>
      <w:bookmarkStart w:id="103" w:name="_Toc20823297"/>
      <w:bookmarkStart w:id="104" w:name="_Toc462564084"/>
      <w:r>
        <w:rPr>
          <w:rFonts w:hint="eastAsia" w:ascii="宋体" w:hAnsi="宋体" w:eastAsia="宋体" w:cs="宋体"/>
          <w:i w:val="0"/>
          <w:iCs w:val="0"/>
          <w:color w:val="auto"/>
          <w:sz w:val="24"/>
          <w:szCs w:val="24"/>
          <w:highlight w:val="none"/>
        </w:rPr>
        <w:t>18、电子磋商</w:t>
      </w:r>
      <w:bookmarkEnd w:id="101"/>
      <w:bookmarkEnd w:id="102"/>
      <w:bookmarkEnd w:id="103"/>
      <w:bookmarkEnd w:id="104"/>
      <w:r>
        <w:rPr>
          <w:rFonts w:hint="eastAsia" w:ascii="宋体" w:hAnsi="宋体" w:eastAsia="宋体" w:cs="宋体"/>
          <w:i w:val="0"/>
          <w:iCs w:val="0"/>
          <w:color w:val="auto"/>
          <w:sz w:val="24"/>
          <w:szCs w:val="24"/>
          <w:highlight w:val="none"/>
        </w:rPr>
        <w:t>响应文件的递交</w:t>
      </w:r>
    </w:p>
    <w:p w14:paraId="1AB1A416">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18.1供应商应当按照《操作手册》规定，在提交响应文件截止时间前制作并上传电子响应文件。</w:t>
      </w:r>
      <w:bookmarkStart w:id="105" w:name="_Toc16938542"/>
      <w:bookmarkEnd w:id="105"/>
      <w:bookmarkStart w:id="106" w:name="_Toc20823298"/>
      <w:bookmarkEnd w:id="106"/>
      <w:bookmarkStart w:id="107" w:name="_Toc513029226"/>
    </w:p>
    <w:p w14:paraId="2BB5721D">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19、提交响应文件截止时间</w:t>
      </w:r>
    </w:p>
    <w:p w14:paraId="154C87FB">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19.1供应商上传电子响应文件的时间不得迟于磋商公告中规定的提交响应文件截止时间。</w:t>
      </w:r>
    </w:p>
    <w:p w14:paraId="78DBBD7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供应商应充分考虑到网络环境、网络带宽等风险因素，如因供应商自身原因造成的电子响应文件上传不成功的按照本磋商文件第二章第26.3.2条规定做无效响应处理。</w:t>
      </w:r>
    </w:p>
    <w:p w14:paraId="283D435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19.2 </w:t>
      </w:r>
      <w:r>
        <w:rPr>
          <w:rFonts w:hint="eastAsia" w:ascii="宋体" w:hAnsi="宋体" w:eastAsia="宋体" w:cs="宋体"/>
          <w:i w:val="0"/>
          <w:iCs w:val="0"/>
          <w:color w:val="auto"/>
          <w:sz w:val="24"/>
          <w:szCs w:val="24"/>
          <w:highlight w:val="none"/>
          <w:lang w:eastAsia="zh-CN"/>
        </w:rPr>
        <w:t>代理公司</w:t>
      </w:r>
      <w:r>
        <w:rPr>
          <w:rFonts w:hint="eastAsia" w:ascii="宋体" w:hAnsi="宋体" w:eastAsia="宋体" w:cs="宋体"/>
          <w:i w:val="0"/>
          <w:iCs w:val="0"/>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0ACE8C33">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i w:val="0"/>
          <w:iCs w:val="0"/>
          <w:color w:val="auto"/>
          <w:sz w:val="24"/>
          <w:szCs w:val="24"/>
          <w:highlight w:val="none"/>
        </w:rPr>
      </w:pPr>
      <w:bookmarkStart w:id="108" w:name="_Toc513029227"/>
      <w:bookmarkStart w:id="109" w:name="_Toc20823299"/>
      <w:bookmarkStart w:id="110" w:name="_Toc16938543"/>
      <w:r>
        <w:rPr>
          <w:rFonts w:hint="eastAsia" w:ascii="宋体" w:hAnsi="宋体" w:eastAsia="宋体" w:cs="宋体"/>
          <w:i w:val="0"/>
          <w:iCs w:val="0"/>
          <w:color w:val="auto"/>
          <w:sz w:val="24"/>
          <w:szCs w:val="24"/>
          <w:highlight w:val="none"/>
        </w:rPr>
        <w:t>20、响应文件</w:t>
      </w:r>
      <w:bookmarkEnd w:id="108"/>
      <w:bookmarkEnd w:id="109"/>
      <w:bookmarkEnd w:id="110"/>
      <w:r>
        <w:rPr>
          <w:rFonts w:hint="eastAsia" w:ascii="宋体" w:hAnsi="宋体" w:eastAsia="宋体" w:cs="宋体"/>
          <w:i w:val="0"/>
          <w:iCs w:val="0"/>
          <w:color w:val="auto"/>
          <w:sz w:val="24"/>
          <w:szCs w:val="24"/>
          <w:highlight w:val="none"/>
        </w:rPr>
        <w:t>的拒收</w:t>
      </w:r>
    </w:p>
    <w:p w14:paraId="650DEA3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20.1 </w:t>
      </w:r>
      <w:r>
        <w:rPr>
          <w:rFonts w:hint="eastAsia" w:ascii="宋体" w:hAnsi="宋体" w:eastAsia="宋体" w:cs="宋体"/>
          <w:i w:val="0"/>
          <w:iCs w:val="0"/>
          <w:color w:val="auto"/>
          <w:sz w:val="24"/>
          <w:szCs w:val="24"/>
          <w:highlight w:val="none"/>
          <w:lang w:eastAsia="zh-CN"/>
        </w:rPr>
        <w:t>代理公司</w:t>
      </w:r>
      <w:r>
        <w:rPr>
          <w:rFonts w:hint="eastAsia" w:ascii="宋体" w:hAnsi="宋体" w:eastAsia="宋体" w:cs="宋体"/>
          <w:i w:val="0"/>
          <w:iCs w:val="0"/>
          <w:color w:val="auto"/>
          <w:sz w:val="24"/>
          <w:szCs w:val="24"/>
          <w:highlight w:val="none"/>
        </w:rPr>
        <w:t>拒绝接收在其规定的提交响应文件截止时间后上传的任何电子响应文件。</w:t>
      </w:r>
    </w:p>
    <w:p w14:paraId="04FE860A">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i w:val="0"/>
          <w:iCs w:val="0"/>
          <w:color w:val="auto"/>
          <w:sz w:val="24"/>
          <w:szCs w:val="24"/>
          <w:highlight w:val="none"/>
        </w:rPr>
      </w:pPr>
      <w:bookmarkStart w:id="111" w:name="_Toc20823300"/>
      <w:bookmarkStart w:id="112" w:name="_Toc16938544"/>
      <w:bookmarkStart w:id="113" w:name="_Toc513029228"/>
      <w:r>
        <w:rPr>
          <w:rFonts w:hint="eastAsia" w:ascii="宋体" w:hAnsi="宋体" w:eastAsia="宋体" w:cs="宋体"/>
          <w:i w:val="0"/>
          <w:iCs w:val="0"/>
          <w:color w:val="auto"/>
          <w:sz w:val="24"/>
          <w:szCs w:val="24"/>
          <w:highlight w:val="none"/>
        </w:rPr>
        <w:t>21、响应文件的撤回和修改</w:t>
      </w:r>
      <w:bookmarkEnd w:id="111"/>
      <w:bookmarkEnd w:id="112"/>
      <w:bookmarkEnd w:id="113"/>
    </w:p>
    <w:p w14:paraId="32648F13">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21.1响应文件的撤回</w:t>
      </w:r>
    </w:p>
    <w:p w14:paraId="1B293C1B">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 电子响应文件的撤回</w:t>
      </w:r>
    </w:p>
    <w:p w14:paraId="662C7B07">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供应商可在提交响应文件截止时间前，撤回其电子响应文件，具体操作方法见《操作手册》。</w:t>
      </w:r>
    </w:p>
    <w:p w14:paraId="4F03D64C">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21.1.2供应商撤回电子响应文件，则认为其不再参与本项目磋商活动。</w:t>
      </w:r>
    </w:p>
    <w:p w14:paraId="3A90E47D">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21.2响应文件的修改</w:t>
      </w:r>
    </w:p>
    <w:p w14:paraId="2F5BAD6B">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供应商可在提交响应文件截止时间前，对其电子响应文件进行修改，具体操作方法见《操作手册》。</w:t>
      </w:r>
    </w:p>
    <w:p w14:paraId="2407ED7B">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 在提交响应文件截止时间之后，供应商不得对其电子响应文件作任何修改。</w:t>
      </w:r>
    </w:p>
    <w:p w14:paraId="46F9251D">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 在提交响应文件截止时间至磋商文件中规定的磋商有效期满之间的这段时间内，供应商不得撤回其响应文件。</w:t>
      </w:r>
    </w:p>
    <w:p w14:paraId="3520CE81">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b/>
          <w:bCs/>
          <w:color w:val="auto"/>
          <w:sz w:val="24"/>
          <w:szCs w:val="24"/>
          <w:highlight w:val="none"/>
        </w:rPr>
      </w:pPr>
      <w:bookmarkStart w:id="114" w:name="_Toc120614218"/>
      <w:bookmarkStart w:id="115" w:name="_Toc513029229"/>
      <w:bookmarkStart w:id="116" w:name="_Toc16938545"/>
      <w:bookmarkStart w:id="117" w:name="_Toc20823301"/>
      <w:r>
        <w:rPr>
          <w:rFonts w:hint="eastAsia" w:ascii="宋体" w:hAnsi="宋体" w:eastAsia="宋体" w:cs="宋体"/>
          <w:b/>
          <w:bCs/>
          <w:color w:val="auto"/>
          <w:sz w:val="24"/>
          <w:szCs w:val="24"/>
          <w:highlight w:val="none"/>
        </w:rPr>
        <w:t>五、响应文件的解密与评审</w:t>
      </w:r>
      <w:bookmarkEnd w:id="114"/>
      <w:bookmarkEnd w:id="115"/>
      <w:bookmarkEnd w:id="116"/>
      <w:bookmarkEnd w:id="117"/>
    </w:p>
    <w:p w14:paraId="247F403E">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bookmarkStart w:id="118" w:name="_Toc513029230"/>
      <w:bookmarkStart w:id="119" w:name="_Toc16938546"/>
      <w:bookmarkStart w:id="120" w:name="_Toc20823302"/>
      <w:r>
        <w:rPr>
          <w:rFonts w:hint="eastAsia" w:ascii="宋体" w:hAnsi="宋体" w:eastAsia="宋体" w:cs="宋体"/>
          <w:color w:val="auto"/>
          <w:sz w:val="24"/>
          <w:szCs w:val="24"/>
          <w:highlight w:val="none"/>
        </w:rPr>
        <w:t>22、</w:t>
      </w:r>
      <w:bookmarkEnd w:id="118"/>
      <w:bookmarkEnd w:id="119"/>
      <w:bookmarkEnd w:id="120"/>
      <w:r>
        <w:rPr>
          <w:rFonts w:hint="eastAsia" w:ascii="宋体" w:hAnsi="宋体" w:eastAsia="宋体" w:cs="宋体"/>
          <w:color w:val="auto"/>
          <w:sz w:val="24"/>
          <w:szCs w:val="24"/>
          <w:highlight w:val="none"/>
        </w:rPr>
        <w:t>响应文件解密</w:t>
      </w:r>
    </w:p>
    <w:p w14:paraId="6D4B9C6D">
      <w:pPr>
        <w:pStyle w:val="15"/>
        <w:pageBreakBefore w:val="0"/>
        <w:widowControl w:val="0"/>
        <w:kinsoku/>
        <w:wordWrap/>
        <w:overflowPunct/>
        <w:topLinePunct w:val="0"/>
        <w:autoSpaceDE/>
        <w:autoSpaceDN/>
        <w:bidi w:val="0"/>
        <w:adjustRightInd/>
        <w:snapToGrid/>
        <w:spacing w:beforeAutospacing="0" w:afterAutospacing="0" w:line="44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71393B36">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121" w:name="_Toc16938547"/>
      <w:bookmarkStart w:id="122" w:name="_Toc20823303"/>
      <w:bookmarkStart w:id="123" w:name="_Toc513029231"/>
      <w:r>
        <w:rPr>
          <w:rFonts w:hint="eastAsia" w:ascii="宋体" w:hAnsi="宋体" w:eastAsia="宋体" w:cs="宋体"/>
          <w:color w:val="auto"/>
          <w:sz w:val="24"/>
          <w:szCs w:val="24"/>
          <w:highlight w:val="none"/>
        </w:rPr>
        <w:t>23、磋商小组</w:t>
      </w:r>
      <w:bookmarkEnd w:id="121"/>
      <w:bookmarkEnd w:id="122"/>
      <w:bookmarkEnd w:id="123"/>
    </w:p>
    <w:p w14:paraId="608E9D5F">
      <w:pPr>
        <w:pStyle w:val="15"/>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23.1</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将组织磋商小组对响应文件进行评审。磋商小组由采购人代表和有关技术、经济等方面的专家组成，且人员构成符合政府采购有关规定。</w:t>
      </w:r>
    </w:p>
    <w:p w14:paraId="749241AB">
      <w:pPr>
        <w:pStyle w:val="15"/>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23.2磋商小组独立工作，负责评审所有响应文件并确定成交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2AA52925">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70CC1CFB">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工作人员、相关监督人员等与评审工作有关的人员，对评审情况以及在评审过程中获悉的国家秘密、商业秘密负有保密责任。</w:t>
      </w:r>
    </w:p>
    <w:p w14:paraId="10581076">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w:t>
      </w:r>
      <w:r>
        <w:rPr>
          <w:rFonts w:hint="eastAsia" w:ascii="宋体" w:hAnsi="宋体" w:eastAsia="宋体" w:cs="宋体"/>
          <w:color w:val="auto"/>
          <w:sz w:val="24"/>
          <w:szCs w:val="24"/>
          <w:highlight w:val="none"/>
          <w:lang w:eastAsia="zh-CN"/>
        </w:rPr>
        <w:t>视为</w:t>
      </w:r>
      <w:r>
        <w:rPr>
          <w:rFonts w:hint="eastAsia" w:ascii="宋体" w:hAnsi="宋体" w:eastAsia="宋体" w:cs="宋体"/>
          <w:color w:val="auto"/>
          <w:sz w:val="24"/>
          <w:szCs w:val="24"/>
          <w:highlight w:val="none"/>
        </w:rPr>
        <w:t>无效响应文件。</w:t>
      </w:r>
    </w:p>
    <w:p w14:paraId="2E39CC3F">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将设专门人员与供应商联系。</w:t>
      </w:r>
    </w:p>
    <w:p w14:paraId="6528CA49">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和磋商小组不向未成交的供应商解释未成交原因，也不公布评审过程中的相关细节。</w:t>
      </w:r>
    </w:p>
    <w:p w14:paraId="2DBC2369">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124" w:name="_Toc513029232"/>
      <w:bookmarkStart w:id="125" w:name="_Toc16938548"/>
      <w:bookmarkStart w:id="126" w:name="_Toc20823304"/>
      <w:r>
        <w:rPr>
          <w:rFonts w:hint="eastAsia" w:ascii="宋体" w:hAnsi="宋体" w:eastAsia="宋体" w:cs="宋体"/>
          <w:color w:val="auto"/>
          <w:sz w:val="24"/>
          <w:szCs w:val="24"/>
          <w:highlight w:val="none"/>
        </w:rPr>
        <w:t>25、评审过程中</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澄清</w:t>
      </w:r>
      <w:bookmarkEnd w:id="124"/>
      <w:bookmarkEnd w:id="125"/>
      <w:bookmarkEnd w:id="126"/>
    </w:p>
    <w:p w14:paraId="20B70A79">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678F43">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1D5C30B8">
      <w:pPr>
        <w:pStyle w:val="15"/>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4A75E98">
      <w:pPr>
        <w:pStyle w:val="15"/>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25.3 接到磋商小组澄清、说明和更正要求的供应商如未按规定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 更正，其风险由供应商自行承担。</w:t>
      </w:r>
    </w:p>
    <w:p w14:paraId="23F7B436">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bookmarkStart w:id="127" w:name="_Toc20823305"/>
      <w:bookmarkStart w:id="128" w:name="_Toc513029233"/>
      <w:bookmarkStart w:id="129" w:name="_Toc16938549"/>
      <w:r>
        <w:rPr>
          <w:rFonts w:hint="eastAsia" w:ascii="宋体" w:hAnsi="宋体" w:eastAsia="宋体" w:cs="宋体"/>
          <w:color w:val="auto"/>
          <w:sz w:val="24"/>
          <w:szCs w:val="24"/>
          <w:highlight w:val="none"/>
        </w:rPr>
        <w:t>26、对响应文件的审</w:t>
      </w:r>
      <w:bookmarkEnd w:id="127"/>
      <w:bookmarkEnd w:id="128"/>
      <w:bookmarkEnd w:id="129"/>
      <w:r>
        <w:rPr>
          <w:rFonts w:hint="eastAsia" w:ascii="宋体" w:hAnsi="宋体" w:eastAsia="宋体" w:cs="宋体"/>
          <w:color w:val="auto"/>
          <w:sz w:val="24"/>
          <w:szCs w:val="24"/>
          <w:highlight w:val="none"/>
        </w:rPr>
        <w:t>查</w:t>
      </w:r>
    </w:p>
    <w:p w14:paraId="1BE39D1E">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2EC39E48">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 资格审查：由磋商小组依据法律法规和磋商文件的规定，对响应文件中的资格证明文件进行审查，以确定供应商是否具备参加磋商的资格。</w:t>
      </w:r>
    </w:p>
    <w:p w14:paraId="31BDFF71">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磋商小组在进行资格审查的同时，将在“信用中国”网站（www.creditchina.gov.cn）查询供应商的信用记录，以确定供应商是否具备磋商资格,查询结果留存并归档。</w:t>
      </w:r>
    </w:p>
    <w:p w14:paraId="09B4FB34">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1C2B1C">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 符合性审查：依据磋商文件的规定，由磋商小组从响应文件的有效性、完整性和对磋商文件的响应程度进行审查，以确定是否对磋商文件的实质性要求作出响应。</w:t>
      </w:r>
    </w:p>
    <w:p w14:paraId="75DC1B15">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0E2BF21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0D49288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C8055A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08A9FA92">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5BD5D67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3B6624B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20493144">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0D7F7E5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w:t>
      </w:r>
      <w:r>
        <w:rPr>
          <w:rFonts w:hint="eastAsia" w:ascii="宋体" w:hAnsi="宋体" w:cs="宋体"/>
          <w:color w:val="000000" w:themeColor="text1"/>
          <w:sz w:val="24"/>
          <w14:textFill>
            <w14:solidFill>
              <w14:schemeClr w14:val="tx1"/>
            </w14:solidFill>
          </w14:textFill>
        </w:rPr>
        <w:t>采购最高限价</w:t>
      </w:r>
      <w:r>
        <w:rPr>
          <w:rFonts w:hint="eastAsia" w:ascii="宋体" w:hAnsi="宋体" w:eastAsia="宋体" w:cs="宋体"/>
          <w:color w:val="auto"/>
          <w:sz w:val="24"/>
          <w:szCs w:val="24"/>
          <w:highlight w:val="none"/>
        </w:rPr>
        <w:t>。</w:t>
      </w:r>
    </w:p>
    <w:p w14:paraId="19AFCED9">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eastAsiaTheme="minorEastAsia"/>
          <w:color w:val="auto"/>
          <w:sz w:val="24"/>
          <w:szCs w:val="24"/>
          <w:highlight w:val="none"/>
          <w:lang w:eastAsia="zh-CN"/>
        </w:rPr>
      </w:pPr>
      <w:r>
        <w:rPr>
          <w:rFonts w:hint="eastAsia" w:ascii="宋体" w:hAnsi="宋体" w:eastAsia="宋体" w:cs="宋体"/>
          <w:color w:val="auto"/>
          <w:sz w:val="24"/>
          <w:szCs w:val="24"/>
          <w:highlight w:val="none"/>
        </w:rPr>
        <w:t>26.3.6</w:t>
      </w:r>
      <w:r>
        <w:rPr>
          <w:rFonts w:hint="eastAsia" w:ascii="宋体" w:hAnsi="宋体" w:cs="宋体"/>
          <w:color w:val="000000" w:themeColor="text1"/>
          <w:sz w:val="24"/>
          <w14:textFill>
            <w14:solidFill>
              <w14:schemeClr w14:val="tx1"/>
            </w14:solidFill>
          </w14:textFill>
        </w:rPr>
        <w:t>不符合磋商文件中规定的实质性要求和条件的</w:t>
      </w:r>
      <w:r>
        <w:rPr>
          <w:rFonts w:hint="eastAsia" w:ascii="宋体" w:hAnsi="宋体" w:cs="宋体"/>
          <w:color w:val="000000" w:themeColor="text1"/>
          <w:sz w:val="24"/>
          <w:lang w:eastAsia="zh-CN"/>
          <w14:textFill>
            <w14:solidFill>
              <w14:schemeClr w14:val="tx1"/>
            </w14:solidFill>
          </w14:textFill>
        </w:rPr>
        <w:t>。</w:t>
      </w:r>
    </w:p>
    <w:p w14:paraId="033E3F1C">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2F4C8D8">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9A8CA6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 本项目采购产品被财政部、</w:t>
      </w:r>
      <w:r>
        <w:rPr>
          <w:rFonts w:hint="eastAsia" w:ascii="宋体" w:hAnsi="宋体" w:eastAsia="宋体" w:cs="宋体"/>
          <w:color w:val="auto"/>
          <w:sz w:val="24"/>
          <w:szCs w:val="24"/>
          <w:highlight w:val="none"/>
          <w:lang w:eastAsia="zh-CN"/>
        </w:rPr>
        <w:t>国家发展改革委</w:t>
      </w:r>
      <w:r>
        <w:rPr>
          <w:rFonts w:hint="eastAsia" w:ascii="宋体" w:hAnsi="宋体" w:eastAsia="宋体" w:cs="宋体"/>
          <w:color w:val="auto"/>
          <w:sz w:val="24"/>
          <w:szCs w:val="24"/>
          <w:highlight w:val="none"/>
        </w:rPr>
        <w:t>、生态环境部等列入“节能产品品目清单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0278C4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26.3.10</w:t>
      </w:r>
      <w:r>
        <w:rPr>
          <w:rFonts w:hint="eastAsia" w:ascii="宋体" w:hAnsi="宋体" w:eastAsia="宋体" w:cs="宋体"/>
          <w:color w:val="FF0000"/>
          <w:sz w:val="24"/>
          <w:szCs w:val="24"/>
          <w:highlight w:val="none"/>
          <w:lang w:val="en-US" w:eastAsia="zh-CN"/>
        </w:rPr>
        <w:t>供应商</w:t>
      </w:r>
      <w:r>
        <w:rPr>
          <w:rFonts w:hint="eastAsia" w:ascii="宋体" w:hAnsi="宋体" w:eastAsia="宋体" w:cs="宋体"/>
          <w:color w:val="FF0000"/>
          <w:sz w:val="24"/>
          <w:szCs w:val="24"/>
          <w:highlight w:val="none"/>
        </w:rPr>
        <w:t>不能证明其报价合理性的，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sz w:val="24"/>
          <w:szCs w:val="24"/>
          <w:highlight w:val="none"/>
        </w:rPr>
        <w:t>应当将其作为无效</w:t>
      </w:r>
      <w:r>
        <w:rPr>
          <w:rFonts w:hint="eastAsia" w:ascii="宋体" w:hAnsi="宋体" w:eastAsia="宋体" w:cs="宋体"/>
          <w:color w:val="FF0000"/>
          <w:kern w:val="0"/>
          <w:sz w:val="24"/>
          <w:szCs w:val="24"/>
          <w:highlight w:val="none"/>
          <w:lang w:val="en-US" w:eastAsia="zh-CN" w:bidi="ar-SA"/>
        </w:rPr>
        <w:t>响应</w:t>
      </w:r>
      <w:r>
        <w:rPr>
          <w:rFonts w:hint="eastAsia" w:ascii="宋体" w:hAnsi="宋体" w:eastAsia="宋体" w:cs="宋体"/>
          <w:color w:val="FF0000"/>
          <w:sz w:val="24"/>
          <w:szCs w:val="24"/>
          <w:highlight w:val="none"/>
        </w:rPr>
        <w:t>处理。</w:t>
      </w:r>
    </w:p>
    <w:p w14:paraId="6F27A04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FF0000"/>
          <w:kern w:val="0"/>
          <w:sz w:val="24"/>
          <w:szCs w:val="24"/>
          <w:highlight w:val="none"/>
          <w:lang w:val="en-US" w:eastAsia="zh-CN" w:bidi="ar-SA"/>
        </w:rPr>
      </w:pPr>
      <w:r>
        <w:rPr>
          <w:rFonts w:hint="eastAsia" w:ascii="宋体" w:hAnsi="宋体" w:eastAsia="宋体" w:cs="宋体"/>
          <w:color w:val="FF0000"/>
          <w:kern w:val="0"/>
          <w:sz w:val="24"/>
          <w:szCs w:val="24"/>
          <w:highlight w:val="none"/>
          <w:lang w:val="en-US" w:eastAsia="zh-CN" w:bidi="ar-SA"/>
        </w:rPr>
        <w:t>（一）评审过程中出现下列情形之一的，</w:t>
      </w:r>
      <w:r>
        <w:rPr>
          <w:rFonts w:hint="eastAsia" w:ascii="宋体" w:hAnsi="宋体" w:eastAsia="宋体" w:cs="宋体"/>
          <w:color w:val="FF0000"/>
          <w:sz w:val="24"/>
          <w:szCs w:val="24"/>
          <w:highlight w:val="none"/>
          <w:lang w:val="en-US" w:eastAsia="zh-CN"/>
        </w:rPr>
        <w:t>磋商小组</w:t>
      </w:r>
      <w:r>
        <w:rPr>
          <w:rFonts w:hint="eastAsia" w:ascii="宋体" w:hAnsi="宋体" w:eastAsia="宋体" w:cs="宋体"/>
          <w:color w:val="FF0000"/>
          <w:kern w:val="0"/>
          <w:sz w:val="24"/>
          <w:szCs w:val="24"/>
          <w:highlight w:val="none"/>
          <w:lang w:val="en-US" w:eastAsia="zh-CN" w:bidi="ar-SA"/>
        </w:rPr>
        <w:t>应当启动异常低价响应审查程序：</w:t>
      </w:r>
    </w:p>
    <w:p w14:paraId="029D404A">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3.投标（响应）报价低于采购项目最高限价45%的，即投标（响应）报价&lt;采购项目最高限价×45%；</w:t>
      </w:r>
    </w:p>
    <w:p w14:paraId="6B93ED46">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4.评审委员会基于专业判断，认为供应商报价过低，有可能影响产品质量或者不能诚信履约的其他情形。</w:t>
      </w:r>
    </w:p>
    <w:p w14:paraId="209516AE">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07C11C6">
      <w:pPr>
        <w:pStyle w:val="15"/>
        <w:keepNext w:val="0"/>
        <w:keepLines w:val="0"/>
        <w:pageBreakBefore w:val="0"/>
        <w:widowControl w:val="0"/>
        <w:kinsoku/>
        <w:wordWrap/>
        <w:overflowPunct/>
        <w:topLinePunct w:val="0"/>
        <w:autoSpaceDE/>
        <w:autoSpaceDN/>
        <w:bidi w:val="0"/>
        <w:adjustRightInd/>
        <w:snapToGrid/>
        <w:spacing w:before="0" w:beforeAutospacing="0" w:after="0" w:afterAutospacing="0" w:line="440" w:lineRule="exact"/>
        <w:ind w:left="0" w:right="0" w:firstLine="482"/>
        <w:jc w:val="both"/>
        <w:textAlignment w:val="auto"/>
        <w:rPr>
          <w:color w:val="FF0000"/>
        </w:rPr>
      </w:pPr>
      <w:r>
        <w:rPr>
          <w:rFonts w:hint="eastAsia" w:ascii="宋体" w:hAnsi="宋体" w:eastAsia="宋体" w:cs="宋体"/>
          <w:color w:val="FF0000"/>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16A2C88">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响应文件未按照磋商文件要求加盖CA电子公章的。</w:t>
      </w:r>
    </w:p>
    <w:p w14:paraId="42B503B3">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未实质性响应磋商文件的响应文件按无效响应处理。</w:t>
      </w:r>
    </w:p>
    <w:p w14:paraId="75F91C60">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合要求的偏离或保留而使其成为实质性响应的文件。</w:t>
      </w:r>
    </w:p>
    <w:p w14:paraId="000876E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bookmarkStart w:id="130" w:name="_Toc20823306"/>
      <w:bookmarkStart w:id="131" w:name="_Toc513029234"/>
      <w:bookmarkStart w:id="132" w:name="_Toc16938550"/>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供应商在项目评审全过程中应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，并安排专人与</w:t>
      </w:r>
      <w:r>
        <w:rPr>
          <w:rFonts w:hint="eastAsia" w:ascii="宋体" w:hAnsi="宋体" w:eastAsia="宋体" w:cs="宋体"/>
          <w:color w:val="auto"/>
          <w:sz w:val="24"/>
          <w:szCs w:val="24"/>
          <w:highlight w:val="none"/>
          <w:lang w:eastAsia="zh-CN"/>
        </w:rPr>
        <w:t>代理公司</w:t>
      </w:r>
      <w:r>
        <w:rPr>
          <w:rFonts w:hint="eastAsia" w:ascii="宋体" w:hAnsi="宋体" w:eastAsia="宋体" w:cs="宋体"/>
          <w:color w:val="auto"/>
          <w:sz w:val="24"/>
          <w:szCs w:val="24"/>
          <w:highlight w:val="none"/>
        </w:rPr>
        <w:t>及磋商小组联系。</w:t>
      </w:r>
      <w:bookmarkEnd w:id="130"/>
      <w:bookmarkEnd w:id="131"/>
      <w:bookmarkEnd w:id="132"/>
    </w:p>
    <w:p w14:paraId="596A9AC8">
      <w:pPr>
        <w:pStyle w:val="15"/>
        <w:keepNext/>
        <w:keepLines/>
        <w:pageBreakBefore w:val="0"/>
        <w:widowControl w:val="0"/>
        <w:kinsoku/>
        <w:wordWrap/>
        <w:overflowPunct/>
        <w:topLinePunct w:val="0"/>
        <w:autoSpaceDE/>
        <w:autoSpaceDN/>
        <w:bidi w:val="0"/>
        <w:adjustRightInd/>
        <w:snapToGrid/>
        <w:spacing w:beforeAutospacing="0" w:afterAutospacing="0" w:line="44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0D2C4D72">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27.1磋商程序</w:t>
      </w:r>
    </w:p>
    <w:p w14:paraId="5C50E73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12B85D5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065F7E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E7A294">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w:t>
      </w:r>
      <w:r>
        <w:rPr>
          <w:rFonts w:hint="eastAsia" w:ascii="宋体" w:hAnsi="宋体" w:eastAsia="宋体" w:cs="宋体"/>
          <w:color w:val="auto"/>
          <w:sz w:val="24"/>
          <w:szCs w:val="24"/>
          <w:highlight w:val="none"/>
          <w:lang w:val="en-US" w:eastAsia="zh-CN"/>
        </w:rPr>
        <w:t>投票推荐3家以上供应商的设计方案或者解决方案，在苏采云系统中向其发布“最后报价要求函”及最后报价格式表，要求其在规定时间内提交最后报价。</w:t>
      </w:r>
    </w:p>
    <w:p w14:paraId="7F2DB60F">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b/>
          <w:bCs/>
          <w:color w:val="000000" w:themeColor="text1"/>
          <w:sz w:val="24"/>
          <w14:textFill>
            <w14:solidFill>
              <w14:schemeClr w14:val="tx1"/>
            </w14:solidFill>
          </w14:textFill>
        </w:rPr>
        <w:t>最后报价是供应商响应文件的有效组成部分，本项目的二轮报价即为最后报价</w:t>
      </w:r>
      <w:r>
        <w:rPr>
          <w:rFonts w:hint="eastAsia" w:ascii="宋体" w:hAnsi="宋体" w:eastAsia="宋体" w:cs="宋体"/>
          <w:color w:val="auto"/>
          <w:sz w:val="24"/>
          <w:szCs w:val="24"/>
          <w:highlight w:val="none"/>
          <w:lang w:val="en-US" w:eastAsia="zh-CN"/>
        </w:rPr>
        <w:t>。符合《政府采购竞争性磋商采购方式管理暂行办法》第三条第一款第四项及《财政部关于竞争性磋商采购方式管理暂行办法有关问题的补充通知》（财库〔2015〕124号）规定情形的，提交最后报价的供应商可以为2家。</w:t>
      </w:r>
    </w:p>
    <w:p w14:paraId="141362C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599C2B3">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 评审方法和评审标准</w:t>
      </w:r>
    </w:p>
    <w:p w14:paraId="3F2673FF">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27.2.1评审方法。经磋商确定最终采购需求和提交最后报价的供应商后，由磋商小组采用综合评分法对提交最后报价的供应商的响应文件和最后报价进行综合评分。</w:t>
      </w:r>
    </w:p>
    <w:p w14:paraId="38CDA423">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BE4170E">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27.2.2评审标准</w:t>
      </w:r>
    </w:p>
    <w:p w14:paraId="22D7196D">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见本磋商文件第五章规定。</w:t>
      </w:r>
    </w:p>
    <w:p w14:paraId="5E019639">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27.3采购活动终止的情况</w:t>
      </w:r>
    </w:p>
    <w:p w14:paraId="55329EC6">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出现下列情形之一的，本次竞争性磋商采购活动将被终止：</w:t>
      </w:r>
    </w:p>
    <w:p w14:paraId="6C5BF25B">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27.3.1因情况变化，不再符合规定的竞争性磋商采购方式适用情形的。</w:t>
      </w:r>
    </w:p>
    <w:p w14:paraId="5387A714">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27.3.2出现影响采购公正的违法、违规行为的。</w:t>
      </w:r>
    </w:p>
    <w:p w14:paraId="1E31EBFD">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27.3.3除本磋商文件第二章第27.1.2条第三款规定的情形外，在磋商过程中符合要求的供应商或者最后报价未超过采购预算的供应商不足3家的。</w:t>
      </w:r>
    </w:p>
    <w:p w14:paraId="53257BC9">
      <w:pPr>
        <w:pStyle w:val="15"/>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27.3.4在苏采云系统规定时间内成功解密电子响应文件的供应商不足3家的。</w:t>
      </w:r>
    </w:p>
    <w:p w14:paraId="036259D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bCs/>
          <w:color w:val="000000" w:themeColor="text1"/>
          <w:sz w:val="24"/>
          <w14:textFill>
            <w14:solidFill>
              <w14:schemeClr w14:val="tx1"/>
            </w14:solidFill>
          </w14:textFill>
        </w:rPr>
      </w:pPr>
      <w:bookmarkStart w:id="133" w:name="_Toc20823307"/>
      <w:bookmarkStart w:id="134" w:name="_Toc16938551"/>
      <w:bookmarkStart w:id="135" w:name="_Toc513029235"/>
      <w:bookmarkStart w:id="136" w:name="_Toc120614219"/>
      <w:r>
        <w:rPr>
          <w:rFonts w:hint="eastAsia" w:ascii="宋体" w:hAnsi="宋体"/>
          <w:b/>
          <w:bCs/>
          <w:color w:val="000000" w:themeColor="text1"/>
          <w:sz w:val="24"/>
          <w14:textFill>
            <w14:solidFill>
              <w14:schemeClr w14:val="tx1"/>
            </w14:solidFill>
          </w14:textFill>
        </w:rPr>
        <w:t>六、</w:t>
      </w:r>
      <w:bookmarkEnd w:id="133"/>
      <w:bookmarkEnd w:id="134"/>
      <w:bookmarkEnd w:id="135"/>
      <w:bookmarkEnd w:id="136"/>
      <w:r>
        <w:rPr>
          <w:rFonts w:hint="eastAsia" w:ascii="宋体" w:hAnsi="宋体"/>
          <w:b/>
          <w:bCs/>
          <w:color w:val="000000" w:themeColor="text1"/>
          <w:sz w:val="24"/>
          <w14:textFill>
            <w14:solidFill>
              <w14:schemeClr w14:val="tx1"/>
            </w14:solidFill>
          </w14:textFill>
        </w:rPr>
        <w:t>成交</w:t>
      </w:r>
    </w:p>
    <w:p w14:paraId="0468F85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bookmarkStart w:id="137" w:name="_Toc20823310"/>
      <w:bookmarkStart w:id="138" w:name="_Toc513029238"/>
      <w:bookmarkStart w:id="139" w:name="_Toc16938554"/>
      <w:r>
        <w:rPr>
          <w:rFonts w:hint="eastAsia" w:ascii="宋体" w:hAnsi="宋体"/>
          <w:b w:val="0"/>
          <w:bCs w:val="0"/>
          <w:color w:val="000000" w:themeColor="text1"/>
          <w:sz w:val="24"/>
          <w14:textFill>
            <w14:solidFill>
              <w14:schemeClr w14:val="tx1"/>
            </w14:solidFill>
          </w14:textFill>
        </w:rPr>
        <w:t>28、</w:t>
      </w:r>
      <w:bookmarkEnd w:id="137"/>
      <w:r>
        <w:rPr>
          <w:rFonts w:hint="eastAsia" w:ascii="宋体" w:hAnsi="宋体"/>
          <w:b w:val="0"/>
          <w:bCs w:val="0"/>
          <w:color w:val="000000" w:themeColor="text1"/>
          <w:sz w:val="24"/>
          <w14:textFill>
            <w14:solidFill>
              <w14:schemeClr w14:val="tx1"/>
            </w14:solidFill>
          </w14:textFill>
        </w:rPr>
        <w:t>确定</w:t>
      </w:r>
      <w:bookmarkEnd w:id="138"/>
      <w:bookmarkEnd w:id="139"/>
      <w:r>
        <w:rPr>
          <w:rFonts w:hint="eastAsia" w:ascii="宋体" w:hAnsi="宋体"/>
          <w:b w:val="0"/>
          <w:bCs w:val="0"/>
          <w:color w:val="000000" w:themeColor="text1"/>
          <w:sz w:val="24"/>
          <w14:textFill>
            <w14:solidFill>
              <w14:schemeClr w14:val="tx1"/>
            </w14:solidFill>
          </w14:textFill>
        </w:rPr>
        <w:t>成交单位</w:t>
      </w:r>
    </w:p>
    <w:p w14:paraId="4C4960E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28.1磋商小组根据综合评分情况，按照评审得分由高到低顺序推荐</w:t>
      </w:r>
      <w:r>
        <w:rPr>
          <w:rFonts w:hint="eastAsia" w:ascii="宋体" w:hAnsi="宋体"/>
          <w:b w:val="0"/>
          <w:bCs w:val="0"/>
          <w:color w:val="000000" w:themeColor="text1"/>
          <w:sz w:val="24"/>
          <w:lang w:val="en-US" w:eastAsia="zh-CN"/>
          <w14:textFill>
            <w14:solidFill>
              <w14:schemeClr w14:val="tx1"/>
            </w14:solidFill>
          </w14:textFill>
        </w:rPr>
        <w:t>1</w:t>
      </w:r>
      <w:r>
        <w:rPr>
          <w:rFonts w:hint="eastAsia" w:ascii="宋体" w:hAnsi="宋体"/>
          <w:b w:val="0"/>
          <w:bCs w:val="0"/>
          <w:color w:val="000000" w:themeColor="text1"/>
          <w:sz w:val="24"/>
          <w14:textFill>
            <w14:solidFill>
              <w14:schemeClr w14:val="tx1"/>
            </w14:solidFill>
          </w14:textFill>
        </w:rPr>
        <w:t>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F08E9F9">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0658F6D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28.2采购人从评审报告提出的成交候选供应商中，按照排序由高到低的原则确定成交供应商。采购人确定成交供应商后，</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将在“</w:t>
      </w:r>
      <w:r>
        <w:rPr>
          <w:rFonts w:hint="eastAsia" w:ascii="宋体" w:hAnsi="宋体"/>
          <w:b w:val="0"/>
          <w:bCs w:val="0"/>
          <w:color w:val="000000" w:themeColor="text1"/>
          <w:sz w:val="24"/>
          <w:lang w:val="en-US" w:eastAsia="zh-CN"/>
          <w14:textFill>
            <w14:solidFill>
              <w14:schemeClr w14:val="tx1"/>
            </w14:solidFill>
          </w14:textFill>
        </w:rPr>
        <w:t>中国政府采购网</w:t>
      </w:r>
      <w:r>
        <w:rPr>
          <w:rFonts w:hint="eastAsia" w:ascii="宋体" w:hAnsi="宋体"/>
          <w:b w:val="0"/>
          <w:bCs w:val="0"/>
          <w:color w:val="000000" w:themeColor="text1"/>
          <w:sz w:val="24"/>
          <w14:textFill>
            <w14:solidFill>
              <w14:schemeClr w14:val="tx1"/>
            </w14:solidFill>
          </w14:textFill>
        </w:rPr>
        <w:t>”</w:t>
      </w:r>
      <w:r>
        <w:rPr>
          <w:rFonts w:hint="eastAsia" w:ascii="宋体" w:hAnsi="宋体"/>
          <w:b w:val="0"/>
          <w:bCs w:val="0"/>
          <w:color w:val="000000" w:themeColor="text1"/>
          <w:sz w:val="24"/>
          <w:lang w:eastAsia="zh-CN"/>
          <w14:textFill>
            <w14:solidFill>
              <w14:schemeClr w14:val="tx1"/>
            </w14:solidFill>
          </w14:textFill>
        </w:rPr>
        <w:t>、</w:t>
      </w:r>
      <w:r>
        <w:rPr>
          <w:rFonts w:hint="eastAsia" w:ascii="宋体" w:hAnsi="宋体"/>
          <w:b w:val="0"/>
          <w:bCs w:val="0"/>
          <w:color w:val="000000" w:themeColor="text1"/>
          <w:sz w:val="24"/>
          <w14:textFill>
            <w14:solidFill>
              <w14:schemeClr w14:val="tx1"/>
            </w14:solidFill>
          </w14:textFill>
        </w:rPr>
        <w:t>“江苏政府采购网</w:t>
      </w:r>
      <w:r>
        <w:rPr>
          <w:rFonts w:hint="eastAsia" w:ascii="宋体" w:hAnsi="宋体"/>
          <w:b w:val="0"/>
          <w:bCs w:val="0"/>
          <w:color w:val="000000" w:themeColor="text1"/>
          <w:sz w:val="24"/>
          <w:lang w:eastAsia="zh-CN"/>
          <w14:textFill>
            <w14:solidFill>
              <w14:schemeClr w14:val="tx1"/>
            </w14:solidFill>
          </w14:textFill>
        </w:rPr>
        <w:t>”“</w:t>
      </w:r>
      <w:r>
        <w:rPr>
          <w:rFonts w:hint="eastAsia" w:ascii="宋体" w:hAnsi="宋体"/>
          <w:b w:val="0"/>
          <w:bCs w:val="0"/>
          <w:color w:val="000000" w:themeColor="text1"/>
          <w:sz w:val="24"/>
          <w14:textFill>
            <w14:solidFill>
              <w14:schemeClr w14:val="tx1"/>
            </w14:solidFill>
          </w14:textFill>
        </w:rPr>
        <w:t>盐城市政府采购网”发布成交结果公告，公告期限为1个工作日。</w:t>
      </w:r>
    </w:p>
    <w:p w14:paraId="4E27532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28.3若有充分证据证明，成交供应商出现下列情况之一的，一经查实，将被取消成交资格：</w:t>
      </w:r>
    </w:p>
    <w:p w14:paraId="73B3476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28.3.1提供虚假材料谋取成交的。</w:t>
      </w:r>
    </w:p>
    <w:p w14:paraId="636046D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28.3.2与评审专家、采购人、其他供应商或者</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工作人员恶意串通的。</w:t>
      </w:r>
    </w:p>
    <w:p w14:paraId="658D92C0">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28.3.3向评审专家、采购人或</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工作人员行贿或者提供其他不正当利益的。</w:t>
      </w:r>
    </w:p>
    <w:p w14:paraId="788D573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28.3.4恶意竞争，最后报价明显低于其自身合理成本且又无法提供证明的。</w:t>
      </w:r>
    </w:p>
    <w:p w14:paraId="20914F1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28.3.5不满足本磋商文件规定的实质性要求，但在评审过程中又未被磋商小组发现的。</w:t>
      </w:r>
    </w:p>
    <w:p w14:paraId="28080CEF">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28.3.6成交后无正当理由拒不与采购人签订政府采购合同或者未按照磋商文件确定的事项签订政府采购合同的。</w:t>
      </w:r>
    </w:p>
    <w:p w14:paraId="5A053D2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28.3.7将政府采购合同转包的。</w:t>
      </w:r>
    </w:p>
    <w:p w14:paraId="03A2F82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bookmarkStart w:id="140" w:name="_Toc200451960"/>
      <w:r>
        <w:rPr>
          <w:rFonts w:hint="eastAsia" w:ascii="宋体" w:hAnsi="宋体"/>
          <w:b w:val="0"/>
          <w:bCs w:val="0"/>
          <w:color w:val="000000" w:themeColor="text1"/>
          <w:sz w:val="24"/>
          <w14:textFill>
            <w14:solidFill>
              <w14:schemeClr w14:val="tx1"/>
            </w14:solidFill>
          </w14:textFill>
        </w:rPr>
        <w:t>29、质疑处理</w:t>
      </w:r>
      <w:bookmarkEnd w:id="140"/>
    </w:p>
    <w:p w14:paraId="3FE1E9A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29.1 提出质疑的供应商应当是参与所质疑项目采购活动的供应商。潜在供应商依法获取其可质疑的</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文件的，可以对</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文件提出质疑。</w:t>
      </w:r>
    </w:p>
    <w:p w14:paraId="3A8A516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29.2供应商认为</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文件、</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过程和</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结果使自己的权益受到损害的，可以在知道或应知其权益受到损害之日起七个工作日内，以书面形式根据下述29.4条款的规定向</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或采购人提出质疑。上述应知其权益受到损害之日，是指：</w:t>
      </w:r>
    </w:p>
    <w:p w14:paraId="425C9738">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29.2.1对可以质疑的</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文件提出质疑的，为收到</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文件之日或者</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文件公告期限届满之日。</w:t>
      </w:r>
      <w:r>
        <w:rPr>
          <w:rFonts w:hint="eastAsia" w:ascii="宋体" w:hAnsi="宋体"/>
          <w:b w:val="0"/>
          <w:bCs w:val="0"/>
          <w:color w:val="000000" w:themeColor="text1"/>
          <w:sz w:val="24"/>
          <w14:textFill>
            <w14:solidFill>
              <w14:schemeClr w14:val="tx1"/>
            </w14:solidFill>
          </w14:textFill>
        </w:rPr>
        <w:br w:type="textWrapping"/>
      </w:r>
      <w:r>
        <w:rPr>
          <w:rFonts w:hint="eastAsia" w:ascii="宋体" w:hAnsi="宋体"/>
          <w:b w:val="0"/>
          <w:bCs w:val="0"/>
          <w:color w:val="000000" w:themeColor="text1"/>
          <w:sz w:val="24"/>
          <w14:textFill>
            <w14:solidFill>
              <w14:schemeClr w14:val="tx1"/>
            </w14:solidFill>
          </w14:textFill>
        </w:rPr>
        <w:t>   29.2.2对</w:t>
      </w:r>
      <w:r>
        <w:rPr>
          <w:rFonts w:hint="eastAsia" w:ascii="宋体" w:hAnsi="宋体"/>
          <w:b w:val="0"/>
          <w:bCs w:val="0"/>
          <w:color w:val="000000" w:themeColor="text1"/>
          <w:sz w:val="24"/>
          <w:lang w:val="en-US" w:eastAsia="zh-CN"/>
          <w14:textFill>
            <w14:solidFill>
              <w14:schemeClr w14:val="tx1"/>
            </w14:solidFill>
          </w14:textFill>
        </w:rPr>
        <w:t>磋商</w:t>
      </w:r>
      <w:r>
        <w:rPr>
          <w:rFonts w:hint="eastAsia" w:ascii="宋体" w:hAnsi="宋体"/>
          <w:b w:val="0"/>
          <w:bCs w:val="0"/>
          <w:color w:val="000000" w:themeColor="text1"/>
          <w:sz w:val="24"/>
          <w14:textFill>
            <w14:solidFill>
              <w14:schemeClr w14:val="tx1"/>
            </w14:solidFill>
          </w14:textFill>
        </w:rPr>
        <w:t>过程提出质疑的，为各采购程序环节结束之日。</w:t>
      </w:r>
      <w:r>
        <w:rPr>
          <w:rFonts w:hint="eastAsia" w:ascii="宋体" w:hAnsi="宋体"/>
          <w:b w:val="0"/>
          <w:bCs w:val="0"/>
          <w:color w:val="000000" w:themeColor="text1"/>
          <w:sz w:val="24"/>
          <w14:textFill>
            <w14:solidFill>
              <w14:schemeClr w14:val="tx1"/>
            </w14:solidFill>
          </w14:textFill>
        </w:rPr>
        <w:br w:type="textWrapping"/>
      </w:r>
      <w:r>
        <w:rPr>
          <w:rFonts w:hint="eastAsia" w:ascii="宋体" w:hAnsi="宋体"/>
          <w:b w:val="0"/>
          <w:bCs w:val="0"/>
          <w:color w:val="000000" w:themeColor="text1"/>
          <w:sz w:val="24"/>
          <w14:textFill>
            <w14:solidFill>
              <w14:schemeClr w14:val="tx1"/>
            </w14:solidFill>
          </w14:textFill>
        </w:rPr>
        <w:t>   29.2.3对成交结果提出质疑的，为成交结果公告期限届满之日。</w:t>
      </w:r>
    </w:p>
    <w:p w14:paraId="35A727E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供应商应当在法定质疑期内一次性提出针对同一采购程序环节的质疑。供应商如在法定期限内对同一采购程序环节提出多次质疑的，</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、采购人将只对供应商第一次质疑作出答复。</w:t>
      </w:r>
    </w:p>
    <w:p w14:paraId="3A7343A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29.3质疑函必须按照本磋商文件中《质疑函范本》要求的格式和内容进行填写。供应商如组成联合体参加磋商，则《质疑函范本》中要求签字、盖章、加盖公章之处，联合体各方均须按要求签字、盖章、加盖公章。</w:t>
      </w:r>
    </w:p>
    <w:p w14:paraId="2CB44F8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提出，由</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负责答复。</w:t>
      </w:r>
    </w:p>
    <w:p w14:paraId="0887885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采购人及代理公司只接收以纸质原件形式送达的质疑,建议供应商尽量通过邮寄方式提交质疑</w:t>
      </w:r>
      <w:r>
        <w:rPr>
          <w:rFonts w:hint="eastAsia" w:ascii="宋体" w:hAnsi="宋体"/>
          <w:b w:val="0"/>
          <w:bCs w:val="0"/>
          <w:color w:val="000000" w:themeColor="text1"/>
          <w:sz w:val="24"/>
          <w14:textFill>
            <w14:solidFill>
              <w14:schemeClr w14:val="tx1"/>
            </w14:solidFill>
          </w14:textFill>
        </w:rPr>
        <w:t>。</w:t>
      </w:r>
    </w:p>
    <w:p w14:paraId="446756B2">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29.5 以下情形的质疑不予受理</w:t>
      </w:r>
    </w:p>
    <w:p w14:paraId="2DC49CFC">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29.5.1 内容不符合《政府采购质疑和投诉办法》第十二条规定的质疑。</w:t>
      </w:r>
    </w:p>
    <w:p w14:paraId="3FFF19E8">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29.5.2 超出政府采购法定期限的质疑。</w:t>
      </w:r>
    </w:p>
    <w:p w14:paraId="3CD169DF">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29.5.3 以传真、电子邮件等方式递交的非原件形式的质疑。</w:t>
      </w:r>
    </w:p>
    <w:p w14:paraId="01D4F44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29.5.4 未参加磋商活动的供应商或在磋商活动中自身权益未受到损害的供应商所提出的质疑。</w:t>
      </w:r>
    </w:p>
    <w:p w14:paraId="44C75173">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29.5.5供应商组成联合体参加磋商，联合体中任何一方或多方未按要求签字、盖章、加盖公章的质疑。</w:t>
      </w:r>
    </w:p>
    <w:p w14:paraId="572F455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29.6供应商提出书面质疑必须有理、有据，不得捏造事实、提供虚假材料进行恶意质疑。否则，一经查实，</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有权依据政府采购的有关规定，报请政府采购监管部门对该供应商进行相应的行政处罚和记录该供应商的失信信息。</w:t>
      </w:r>
    </w:p>
    <w:p w14:paraId="40BC951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30、成交通知书</w:t>
      </w:r>
    </w:p>
    <w:p w14:paraId="1C7A457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30.1成交结果确定后，</w:t>
      </w:r>
      <w:r>
        <w:rPr>
          <w:rFonts w:hint="eastAsia" w:ascii="宋体" w:hAnsi="宋体"/>
          <w:b w:val="0"/>
          <w:bCs w:val="0"/>
          <w:color w:val="000000" w:themeColor="text1"/>
          <w:sz w:val="24"/>
          <w:lang w:eastAsia="zh-CN"/>
          <w14:textFill>
            <w14:solidFill>
              <w14:schemeClr w14:val="tx1"/>
            </w14:solidFill>
          </w14:textFill>
        </w:rPr>
        <w:t>代理公司</w:t>
      </w:r>
      <w:r>
        <w:rPr>
          <w:rFonts w:hint="eastAsia" w:ascii="宋体" w:hAnsi="宋体"/>
          <w:b w:val="0"/>
          <w:bCs w:val="0"/>
          <w:color w:val="000000" w:themeColor="text1"/>
          <w:sz w:val="24"/>
          <w14:textFill>
            <w14:solidFill>
              <w14:schemeClr w14:val="tx1"/>
            </w14:solidFill>
          </w14:textFill>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E74620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b w:val="0"/>
          <w:bCs w:val="0"/>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30.2成交通知书将是合同的一个组成部分。对采购人和成交供应商均具有法律效力。成交通知书发出后，采购人改变成交结果的，或者成交供应商放弃成交项目的，应当依法承担法律责任。</w:t>
      </w:r>
    </w:p>
    <w:p w14:paraId="478023D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bookmarkStart w:id="141" w:name="_Toc513029236"/>
      <w:bookmarkStart w:id="142" w:name="_Toc20823308"/>
      <w:bookmarkStart w:id="143" w:name="_Toc16938552"/>
      <w:bookmarkStart w:id="144" w:name="_Toc120614220"/>
      <w:r>
        <w:rPr>
          <w:rFonts w:hint="eastAsia" w:ascii="宋体" w:hAnsi="宋体" w:cs="宋体"/>
          <w:b/>
          <w:bCs/>
          <w:color w:val="000000" w:themeColor="text1"/>
          <w:sz w:val="24"/>
          <w14:textFill>
            <w14:solidFill>
              <w14:schemeClr w14:val="tx1"/>
            </w14:solidFill>
          </w14:textFill>
        </w:rPr>
        <w:t>七、授予合同</w:t>
      </w:r>
      <w:bookmarkEnd w:id="141"/>
      <w:bookmarkEnd w:id="142"/>
      <w:bookmarkEnd w:id="143"/>
      <w:bookmarkEnd w:id="144"/>
    </w:p>
    <w:p w14:paraId="51383173">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bookmarkStart w:id="145" w:name="_Toc16938553"/>
      <w:bookmarkStart w:id="146" w:name="_Toc513029237"/>
      <w:bookmarkStart w:id="147" w:name="_Toc20823309"/>
      <w:r>
        <w:rPr>
          <w:rFonts w:hint="eastAsia" w:ascii="宋体" w:hAnsi="宋体" w:cs="宋体"/>
          <w:color w:val="000000" w:themeColor="text1"/>
          <w:sz w:val="24"/>
          <w14:textFill>
            <w14:solidFill>
              <w14:schemeClr w14:val="tx1"/>
            </w14:solidFill>
          </w14:textFill>
        </w:rPr>
        <w:t>31.签订合同</w:t>
      </w:r>
      <w:bookmarkEnd w:id="145"/>
      <w:bookmarkEnd w:id="146"/>
      <w:bookmarkEnd w:id="147"/>
    </w:p>
    <w:p w14:paraId="4210901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31.l成交供应商应当在成交通知书发出之日起三十日内，按照磋商文件确定的事项与采购人签订政府采购合同。</w:t>
      </w:r>
    </w:p>
    <w:p w14:paraId="7859BE6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31.2磋商文件、成交供应商的响应文件及磋商过程中有关澄清、承诺文件均应作为合同附件。</w:t>
      </w:r>
    </w:p>
    <w:p w14:paraId="1F54B37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424555F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标的物的追加</w:t>
      </w:r>
    </w:p>
    <w:p w14:paraId="16EBF0A4">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33.政府采购政策功能落实</w:t>
      </w:r>
    </w:p>
    <w:p w14:paraId="3EA2C724">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33.1</w:t>
      </w:r>
      <w:r>
        <w:rPr>
          <w:rFonts w:hint="eastAsia" w:ascii="宋体" w:hAnsi="宋体" w:cs="宋体"/>
          <w:color w:val="000000" w:themeColor="text1"/>
          <w:sz w:val="24"/>
          <w14:textFill>
            <w14:solidFill>
              <w14:schemeClr w14:val="tx1"/>
            </w14:solidFill>
          </w14:textFill>
        </w:rPr>
        <w:t>政府采购</w:t>
      </w:r>
      <w:r>
        <w:rPr>
          <w:rFonts w:hint="eastAsia" w:ascii="宋体" w:hAnsi="宋体" w:cs="宋体"/>
          <w:color w:val="000000" w:themeColor="text1"/>
          <w:sz w:val="24"/>
          <w:lang w:eastAsia="zh-CN"/>
          <w14:textFill>
            <w14:solidFill>
              <w14:schemeClr w14:val="tx1"/>
            </w14:solidFill>
          </w14:textFill>
        </w:rPr>
        <w:t>线上合同信用融资</w:t>
      </w:r>
      <w:r>
        <w:rPr>
          <w:rFonts w:hint="eastAsia" w:ascii="宋体" w:hAnsi="宋体" w:cs="宋体"/>
          <w:color w:val="000000" w:themeColor="text1"/>
          <w:sz w:val="24"/>
          <w14:textFill>
            <w14:solidFill>
              <w14:schemeClr w14:val="tx1"/>
            </w14:solidFill>
          </w14:textFill>
        </w:rPr>
        <w:t>政策</w:t>
      </w:r>
    </w:p>
    <w:p w14:paraId="7831DEF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根据《转发江苏省财政厅 中国人民银行南京分行</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关于深入推进政府采购线上合同信用融资工作的通知</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的通知》（盐财购〔2021〕20号）规定，中标供应商如有融资需求，可持政府采购合同在线向相关金融机构（具体信息详见</w:t>
      </w:r>
      <w:r>
        <w:rPr>
          <w:rFonts w:hint="eastAsia" w:ascii="宋体" w:hAnsi="宋体" w:cs="宋体"/>
          <w:color w:val="000000" w:themeColor="text1"/>
          <w:sz w:val="24"/>
          <w:lang w:val="en-US" w:eastAsia="zh-CN"/>
          <w14:textFill>
            <w14:solidFill>
              <w14:schemeClr w14:val="tx1"/>
            </w14:solidFill>
          </w14:textFill>
        </w:rPr>
        <w:t>江苏省</w:t>
      </w:r>
      <w:r>
        <w:rPr>
          <w:rFonts w:hint="eastAsia" w:ascii="宋体" w:hAnsi="宋体" w:cs="宋体"/>
          <w:color w:val="000000" w:themeColor="text1"/>
          <w:sz w:val="24"/>
          <w14:textFill>
            <w14:solidFill>
              <w14:schemeClr w14:val="tx1"/>
            </w14:solidFill>
          </w14:textFill>
        </w:rPr>
        <w:t>政府采购网“政采贷”栏目）申请贷款，相关金融机构按照双方自愿的原则提供便捷、优惠的贷款服务；具体操作流程请参考苏采云系统中操作手册。 </w:t>
      </w:r>
    </w:p>
    <w:p w14:paraId="05A8ADE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33.2进口产品</w:t>
      </w:r>
    </w:p>
    <w:p w14:paraId="5E25FDB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进口产品</w:t>
      </w:r>
      <w:r>
        <w:rPr>
          <w:rFonts w:hint="eastAsia" w:ascii="宋体" w:hAnsi="宋体" w:cs="宋体"/>
          <w:color w:val="000000" w:themeColor="text1"/>
          <w:sz w:val="24"/>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33.3中小企业、监狱企业及残疾人福利性单位</w:t>
      </w:r>
    </w:p>
    <w:p w14:paraId="63807B9C">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.3.1中小企业定义：</w:t>
      </w:r>
    </w:p>
    <w:p w14:paraId="4C9CBD8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政府采购促进中小企业发展管理办法》（财库〔2020〕46号）、《关于印发中小企业划型标准规定的通知》（工信部联企业〔2011〕300 号）、《国务院关于进一步促进中小企业发展的若干意见》（国发〔2009〕36 号）。</w:t>
      </w:r>
    </w:p>
    <w:p w14:paraId="30D4ACC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.3.2供应商提供的货物、工程或者服务符合下列情形的，享受中小企业扶持政策：</w:t>
      </w:r>
    </w:p>
    <w:p w14:paraId="6761BEF4">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.3.2.1在货物采购项目中，货物由中小企业制造，即货物由中小企业生产且使用该中小企业商号或者注册商标；</w:t>
      </w:r>
    </w:p>
    <w:p w14:paraId="31163D4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.3.2.2在工程采购项目中，工程由中小企业承建，即工程施工单位为中小企业；</w:t>
      </w:r>
    </w:p>
    <w:p w14:paraId="4DFC19B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.3.2.3在服务采购项目中，服务由中小企业承接，即提供服务的人员为中小企业依照《中华人民共和国劳动合同法》订立劳动合同的从业人员。</w:t>
      </w:r>
    </w:p>
    <w:p w14:paraId="3EA95C7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.3.3在货物采购项目中，供应商提供的货物既有中小企业制造货物，也有大型企业制造货物的，不享受中小企业扶持政策。</w:t>
      </w:r>
    </w:p>
    <w:p w14:paraId="18C13D1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.3.4以联合体形式参加政府采购活动，联合体各方均为中小企业的，联合体视同中小企业。其中，联合体各方均为小微企业的，联合体视同小微企业。</w:t>
      </w:r>
    </w:p>
    <w:p w14:paraId="34D8F3DF">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.3.6残疾人福利单位定义：享受政府采购支持政策的残疾人福利性单位应当同时满足以下条件：</w:t>
      </w:r>
    </w:p>
    <w:p w14:paraId="2C10A4F6">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.3.6.1安置的残疾人占本单位在职职工人数的比例不低于25%（含25%），并且安置的残疾人人数不少于10 人（含10 人）；</w:t>
      </w:r>
    </w:p>
    <w:p w14:paraId="273AB3B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.3.6.2依法与安置的每位残疾人签订了一年以上（含一年）的劳动合同或服务协议；</w:t>
      </w:r>
    </w:p>
    <w:p w14:paraId="25054FF3">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.3.6.3为安置的每位残疾人按月足额缴纳了基本养老保险、基本医疗保险、失业保险、工伤保险和生育保险等社会保险费；</w:t>
      </w:r>
    </w:p>
    <w:p w14:paraId="2B08B5C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.3.6.4通过银行等金融机构向安置的每位残疾人，按月支付了不低于单位所在区县适用的经省级人民政府批准的月最低工资标准的工资；</w:t>
      </w:r>
    </w:p>
    <w:p w14:paraId="20CB233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.3.6.5提供本单位制造的货物、承担的工程或者服务（以下简称产品），或者提供其他残疾人福利性单位制造的货物（不包括使用非残疾人福利性单位注册商标的货物）；</w:t>
      </w:r>
    </w:p>
    <w:p w14:paraId="3B85C34B">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.3.7本项目是否专门面向中小企业预留采购份额见第一章《竞争性磋商</w:t>
      </w:r>
      <w:r>
        <w:rPr>
          <w:rFonts w:hint="eastAsia" w:ascii="宋体" w:hAnsi="宋体" w:cs="宋体"/>
          <w:color w:val="000000" w:themeColor="text1"/>
          <w:sz w:val="24"/>
          <w:lang w:val="en-US" w:eastAsia="zh-CN"/>
          <w14:textFill>
            <w14:solidFill>
              <w14:schemeClr w14:val="tx1"/>
            </w14:solidFill>
          </w14:textFill>
        </w:rPr>
        <w:t>公告</w:t>
      </w:r>
      <w:r>
        <w:rPr>
          <w:rFonts w:hint="eastAsia" w:ascii="宋体" w:hAnsi="宋体" w:cs="宋体"/>
          <w:color w:val="000000" w:themeColor="text1"/>
          <w:sz w:val="24"/>
          <w14:textFill>
            <w14:solidFill>
              <w14:schemeClr w14:val="tx1"/>
            </w14:solidFill>
          </w14:textFill>
        </w:rPr>
        <w:t>》。</w:t>
      </w:r>
    </w:p>
    <w:p w14:paraId="66321B5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w:t>
      </w:r>
      <w:r>
        <w:rPr>
          <w:rFonts w:hint="eastAsia" w:ascii="宋体" w:hAnsi="宋体" w:cs="宋体"/>
          <w:color w:val="000000" w:themeColor="text1"/>
          <w:sz w:val="24"/>
          <w14:textFill>
            <w14:solidFill>
              <w14:schemeClr w14:val="tx1"/>
            </w14:solidFill>
          </w14:textFill>
        </w:rPr>
        <w:t>.3.8采购标的对应的中小企业划分标准所属行业见第四章《采购需求》。</w:t>
      </w:r>
    </w:p>
    <w:p w14:paraId="3CD3781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.3.9小微企业价格评审优惠的政策：见第五章《评标方法和评标标准》。</w:t>
      </w:r>
    </w:p>
    <w:p w14:paraId="24130294">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33.4政府采购节能产品、环境标志产品</w:t>
      </w:r>
    </w:p>
    <w:p w14:paraId="56196F7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cs="宋体"/>
          <w:color w:val="000000" w:themeColor="text1"/>
          <w:sz w:val="24"/>
          <w14:textFill>
            <w14:solidFill>
              <w14:schemeClr w14:val="tx1"/>
            </w14:solidFill>
          </w14:textFill>
        </w:rPr>
        <w:t>.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33.5绿色包装</w:t>
      </w:r>
    </w:p>
    <w:p w14:paraId="3C828DB7">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33.6政府采购创新产品</w:t>
      </w:r>
    </w:p>
    <w:p w14:paraId="2D9B3368">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采购人优先采购各级政府部门公开发布的有效期内的创新产品、创新服务、首台套、首购首用等《目录》的创新产品</w:t>
      </w:r>
      <w:r>
        <w:rPr>
          <w:rFonts w:hint="eastAsia" w:ascii="宋体" w:hAnsi="宋体" w:cs="宋体"/>
          <w:color w:val="000000" w:themeColor="text1"/>
          <w:sz w:val="24"/>
          <w14:textFill>
            <w14:solidFill>
              <w14:schemeClr w14:val="tx1"/>
            </w14:solidFill>
          </w14:textFill>
        </w:rPr>
        <w:t>。</w:t>
      </w:r>
    </w:p>
    <w:p w14:paraId="57947BB5">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33.7绿色数据中心政策 </w:t>
      </w:r>
    </w:p>
    <w:p w14:paraId="722A8D32">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2"/>
        <w:jc w:val="both"/>
        <w:textAlignment w:val="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FF0000"/>
          <w:kern w:val="0"/>
          <w:sz w:val="24"/>
          <w:szCs w:val="24"/>
          <w:lang w:val="en-US" w:eastAsia="zh-CN" w:bidi="ar-SA"/>
        </w:rPr>
      </w:pPr>
      <w:r>
        <w:rPr>
          <w:rFonts w:hint="eastAsia" w:ascii="宋体" w:hAnsi="宋体" w:cs="宋体" w:eastAsiaTheme="minorEastAsia"/>
          <w:color w:val="FF0000"/>
          <w:kern w:val="0"/>
          <w:sz w:val="24"/>
          <w:szCs w:val="24"/>
          <w:lang w:val="en-US" w:eastAsia="zh-CN" w:bidi="ar-SA"/>
        </w:rPr>
        <w:t>33.8实施本国产品标准及相关政策</w:t>
      </w:r>
    </w:p>
    <w:p w14:paraId="510E67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FF0000"/>
          <w:kern w:val="0"/>
          <w:sz w:val="24"/>
          <w:szCs w:val="24"/>
          <w:lang w:val="en-US" w:eastAsia="zh-CN" w:bidi="ar-SA"/>
        </w:rPr>
      </w:pPr>
      <w:r>
        <w:rPr>
          <w:rFonts w:hint="eastAsia" w:ascii="宋体" w:hAnsi="宋体" w:cs="宋体" w:eastAsiaTheme="minorEastAsia"/>
          <w:color w:val="FF0000"/>
          <w:kern w:val="0"/>
          <w:sz w:val="24"/>
          <w:szCs w:val="24"/>
          <w:lang w:val="en-US" w:eastAsia="zh-CN" w:bidi="ar-SA"/>
        </w:rPr>
        <w:t>1.本项目对采购本国产品给予政策支持，具体内容见招标文件“第五章 评标方法与评标标准”。</w:t>
      </w:r>
    </w:p>
    <w:p w14:paraId="6E8BCED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FF0000"/>
          <w:kern w:val="0"/>
          <w:sz w:val="24"/>
          <w:szCs w:val="24"/>
          <w:lang w:val="en-US" w:eastAsia="zh-CN" w:bidi="ar-SA"/>
        </w:rPr>
      </w:pPr>
      <w:r>
        <w:rPr>
          <w:rFonts w:hint="eastAsia" w:ascii="宋体" w:hAnsi="宋体" w:cs="宋体" w:eastAsiaTheme="minorEastAsia"/>
          <w:color w:val="FF0000"/>
          <w:kern w:val="0"/>
          <w:sz w:val="24"/>
          <w:szCs w:val="24"/>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9ED41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FF0000"/>
          <w:kern w:val="0"/>
          <w:sz w:val="24"/>
          <w:szCs w:val="24"/>
          <w:lang w:val="en-US" w:eastAsia="zh-CN" w:bidi="ar-SA"/>
        </w:rPr>
      </w:pPr>
      <w:r>
        <w:rPr>
          <w:rFonts w:hint="eastAsia" w:ascii="宋体" w:hAnsi="宋体" w:cs="宋体" w:eastAsiaTheme="minorEastAsia"/>
          <w:color w:val="FF0000"/>
          <w:kern w:val="0"/>
          <w:sz w:val="24"/>
          <w:szCs w:val="24"/>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F807C9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cs="宋体" w:eastAsiaTheme="minorEastAsia"/>
          <w:color w:val="FF0000"/>
          <w:kern w:val="0"/>
          <w:sz w:val="24"/>
          <w:szCs w:val="24"/>
          <w:u w:val="single"/>
          <w:lang w:val="en-US" w:eastAsia="zh-CN" w:bidi="ar-SA"/>
        </w:rPr>
      </w:pPr>
      <w:r>
        <w:rPr>
          <w:rFonts w:hint="eastAsia" w:ascii="宋体" w:hAnsi="宋体" w:cs="宋体" w:eastAsiaTheme="minorEastAsia"/>
          <w:color w:val="FF0000"/>
          <w:kern w:val="0"/>
          <w:sz w:val="24"/>
          <w:szCs w:val="24"/>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w:t>
      </w:r>
      <w:r>
        <w:rPr>
          <w:rFonts w:hint="eastAsia" w:ascii="宋体" w:hAnsi="宋体" w:eastAsia="宋体" w:cs="宋体"/>
          <w:b/>
          <w:bCs/>
          <w:color w:val="FF0000"/>
          <w:kern w:val="0"/>
          <w:sz w:val="24"/>
          <w:szCs w:val="24"/>
          <w:highlight w:val="none"/>
          <w:u w:val="single"/>
          <w:lang w:val="en-US" w:eastAsia="zh-CN" w:bidi="ar-SA"/>
        </w:rPr>
        <w:t>出</w:t>
      </w:r>
      <w:r>
        <w:rPr>
          <w:rFonts w:hint="eastAsia" w:ascii="宋体" w:hAnsi="宋体" w:cs="宋体" w:eastAsiaTheme="minorEastAsia"/>
          <w:color w:val="FF0000"/>
          <w:kern w:val="0"/>
          <w:sz w:val="24"/>
          <w:szCs w:val="24"/>
          <w:u w:val="single"/>
          <w:lang w:val="en-US" w:eastAsia="zh-CN" w:bidi="ar-SA"/>
        </w:rPr>
        <w:t>具《关于符合本国产品标准的声明函》（以下简称《声明函》），不出具《声明函》的，不享受政府采购对本国产品的支持政策。</w:t>
      </w:r>
    </w:p>
    <w:p w14:paraId="034807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33.9履约保证金政策</w:t>
      </w:r>
    </w:p>
    <w:p w14:paraId="40F02B3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确需收取履约保证金的，履约保证金的缴纳形式：</w:t>
      </w:r>
    </w:p>
    <w:p w14:paraId="5EB031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 xml:space="preserve"> 如以履约保函（保险）形式缴纳履约保证金，供应商可通过政府采购电子履约保函（保险）平台（www.jsdzbh.com）在线申请履约保函（保险）。</w:t>
      </w:r>
    </w:p>
    <w:p w14:paraId="57E6C9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cs="宋体"/>
          <w:color w:val="000000" w:themeColor="text1"/>
          <w:sz w:val="24"/>
          <w14:textFill>
            <w14:solidFill>
              <w14:schemeClr w14:val="tx1"/>
            </w14:solidFill>
          </w14:textFill>
        </w:rPr>
        <w:t>降低履约保证金缴纳比例至5%</w:t>
      </w:r>
      <w:r>
        <w:rPr>
          <w:rFonts w:hint="eastAsia" w:ascii="宋体" w:hAnsi="宋体" w:cs="宋体" w:eastAsiaTheme="minorEastAsia"/>
          <w:color w:val="auto"/>
          <w:kern w:val="0"/>
          <w:sz w:val="24"/>
          <w:szCs w:val="24"/>
          <w:lang w:val="en-US" w:eastAsia="zh-CN" w:bidi="ar-SA"/>
        </w:rPr>
        <w:t>。</w:t>
      </w:r>
    </w:p>
    <w:p w14:paraId="184C23E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34. 预付款制度</w:t>
      </w:r>
    </w:p>
    <w:p w14:paraId="23108FD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cs="宋体" w:eastAsiaTheme="minorEastAsia"/>
          <w:color w:val="auto"/>
          <w:kern w:val="0"/>
          <w:sz w:val="24"/>
          <w:szCs w:val="24"/>
          <w:lang w:val="en-US" w:eastAsia="zh-CN" w:bidi="ar-SA"/>
        </w:rPr>
      </w:pPr>
      <w:r>
        <w:rPr>
          <w:rFonts w:hint="eastAsia" w:ascii="宋体" w:hAnsi="宋体" w:cs="宋体" w:eastAsiaTheme="minorEastAsia"/>
          <w:color w:val="auto"/>
          <w:kern w:val="0"/>
          <w:sz w:val="24"/>
          <w:szCs w:val="24"/>
          <w:lang w:val="en-US" w:eastAsia="zh-CN" w:bidi="ar-SA"/>
        </w:rPr>
        <w:t>本项目落实预付款制度，预付款比例为</w:t>
      </w:r>
      <w:r>
        <w:rPr>
          <w:rFonts w:hint="eastAsia" w:ascii="宋体" w:hAnsi="宋体" w:cs="宋体"/>
          <w:color w:val="auto"/>
          <w:kern w:val="0"/>
          <w:sz w:val="24"/>
          <w:szCs w:val="24"/>
          <w:u w:val="single"/>
          <w:lang w:val="en-US" w:eastAsia="zh-CN" w:bidi="ar-SA"/>
        </w:rPr>
        <w:t xml:space="preserve"> 10</w:t>
      </w:r>
      <w:r>
        <w:rPr>
          <w:rFonts w:hint="eastAsia" w:ascii="宋体" w:hAnsi="宋体" w:cs="宋体" w:eastAsiaTheme="minorEastAsia"/>
          <w:color w:val="auto"/>
          <w:kern w:val="0"/>
          <w:sz w:val="24"/>
          <w:szCs w:val="24"/>
          <w:u w:val="single"/>
          <w:lang w:val="en-US" w:eastAsia="zh-CN" w:bidi="ar-SA"/>
        </w:rPr>
        <w:t>%</w:t>
      </w:r>
      <w:r>
        <w:rPr>
          <w:rFonts w:hint="eastAsia" w:ascii="宋体" w:hAnsi="宋体" w:cs="宋体"/>
          <w:color w:val="auto"/>
          <w:kern w:val="0"/>
          <w:sz w:val="24"/>
          <w:szCs w:val="24"/>
          <w:u w:val="single"/>
          <w:lang w:val="en-US" w:eastAsia="zh-CN" w:bidi="ar-SA"/>
        </w:rPr>
        <w:t xml:space="preserve"> </w:t>
      </w:r>
      <w:r>
        <w:rPr>
          <w:rFonts w:hint="eastAsia" w:ascii="宋体" w:hAnsi="宋体" w:cs="宋体" w:eastAsiaTheme="minorEastAsia"/>
          <w:color w:val="auto"/>
          <w:kern w:val="0"/>
          <w:sz w:val="24"/>
          <w:szCs w:val="24"/>
          <w:lang w:val="en-US" w:eastAsia="zh-CN" w:bidi="ar-SA"/>
        </w:rPr>
        <w:t>。在签订合同时，中标、成交供应商明确书面表示无需预付款或者主动要求降低预付款比例的，采购人可就预付款比例作相应调整。</w:t>
      </w:r>
    </w:p>
    <w:p w14:paraId="53289C7D">
      <w:pPr>
        <w:pStyle w:val="27"/>
        <w:spacing w:after="0" w:line="520" w:lineRule="exact"/>
        <w:ind w:left="0" w:firstLine="560"/>
        <w:rPr>
          <w:rFonts w:hint="eastAsia" w:ascii="宋体" w:hAnsi="宋体" w:eastAsia="宋体" w:cs="宋体"/>
          <w:color w:val="auto"/>
          <w:kern w:val="0"/>
          <w:sz w:val="24"/>
          <w:szCs w:val="24"/>
          <w:highlight w:val="none"/>
          <w:shd w:val="clear" w:color="auto" w:fill="auto"/>
          <w:lang w:val="en-US" w:eastAsia="zh-CN" w:bidi="ar-SA"/>
        </w:rPr>
      </w:pPr>
    </w:p>
    <w:p w14:paraId="531EBA22">
      <w:pPr>
        <w:pStyle w:val="15"/>
        <w:spacing w:beforeAutospacing="0" w:afterAutospacing="0" w:line="0" w:lineRule="atLeas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2D2A0B08">
      <w:pPr>
        <w:pStyle w:val="15"/>
        <w:keepNext/>
        <w:spacing w:beforeAutospacing="0" w:afterAutospacing="0"/>
        <w:ind w:firstLine="2640"/>
        <w:jc w:val="both"/>
        <w:rPr>
          <w:rFonts w:hint="eastAsia" w:ascii="宋体" w:hAnsi="宋体" w:eastAsia="宋体" w:cs="宋体"/>
          <w:color w:val="auto"/>
          <w:sz w:val="24"/>
          <w:szCs w:val="24"/>
          <w:highlight w:val="none"/>
          <w:shd w:val="clear" w:color="auto" w:fill="auto"/>
        </w:rPr>
      </w:pPr>
    </w:p>
    <w:p w14:paraId="253DB53E">
      <w:pPr>
        <w:pStyle w:val="15"/>
        <w:keepNext/>
        <w:spacing w:beforeAutospacing="0" w:afterAutospacing="0"/>
        <w:jc w:val="both"/>
        <w:rPr>
          <w:rFonts w:hint="eastAsia" w:ascii="宋体" w:hAnsi="宋体" w:eastAsia="宋体" w:cs="宋体"/>
          <w:color w:val="auto"/>
          <w:sz w:val="24"/>
          <w:szCs w:val="24"/>
          <w:highlight w:val="none"/>
          <w:shd w:val="clear" w:color="auto" w:fill="auto"/>
        </w:rPr>
      </w:pPr>
    </w:p>
    <w:p w14:paraId="1A0F05AC">
      <w:pPr>
        <w:pStyle w:val="15"/>
        <w:keepNext/>
        <w:spacing w:beforeAutospacing="0" w:afterAutospacing="0"/>
        <w:jc w:val="both"/>
        <w:rPr>
          <w:rFonts w:hint="eastAsia" w:ascii="宋体" w:hAnsi="宋体" w:eastAsia="宋体" w:cs="宋体"/>
          <w:color w:val="auto"/>
          <w:sz w:val="24"/>
          <w:szCs w:val="24"/>
          <w:highlight w:val="none"/>
          <w:shd w:val="clear" w:color="auto" w:fill="auto"/>
        </w:rPr>
      </w:pPr>
    </w:p>
    <w:p w14:paraId="7C8A78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7CCB9D0">
      <w:pPr>
        <w:pStyle w:val="16"/>
        <w:rPr>
          <w:color w:val="000000" w:themeColor="text1"/>
          <w:sz w:val="36"/>
          <w:szCs w:val="36"/>
          <w14:textFill>
            <w14:solidFill>
              <w14:schemeClr w14:val="tx1"/>
            </w14:solidFill>
          </w14:textFill>
        </w:rPr>
      </w:pPr>
      <w:r>
        <w:rPr>
          <w:rFonts w:hint="eastAsia" w:ascii="黑体" w:hAnsi="宋体" w:eastAsia="黑体" w:cs="黑体"/>
          <w:color w:val="auto"/>
          <w:sz w:val="36"/>
          <w:szCs w:val="36"/>
          <w:highlight w:val="none"/>
        </w:rPr>
        <w:t>第三章</w:t>
      </w:r>
      <w:r>
        <w:rPr>
          <w:rFonts w:hint="eastAsia" w:ascii="黑体" w:hAnsi="宋体" w:eastAsia="黑体" w:cs="黑体"/>
          <w:color w:val="auto"/>
          <w:sz w:val="36"/>
          <w:szCs w:val="36"/>
          <w:highlight w:val="none"/>
          <w:lang w:val="en-US" w:eastAsia="zh-CN"/>
        </w:rPr>
        <w:t xml:space="preserve"> </w:t>
      </w:r>
      <w:r>
        <w:rPr>
          <w:rFonts w:hint="eastAsia"/>
          <w:color w:val="000000" w:themeColor="text1"/>
          <w:sz w:val="36"/>
          <w:szCs w:val="36"/>
          <w14:textFill>
            <w14:solidFill>
              <w14:schemeClr w14:val="tx1"/>
            </w14:solidFill>
          </w14:textFill>
        </w:rPr>
        <w:t>合同条款及格式</w:t>
      </w:r>
    </w:p>
    <w:p w14:paraId="3FBA032E">
      <w:pPr>
        <w:widowControl w:val="0"/>
        <w:spacing w:line="480" w:lineRule="exact"/>
        <w:ind w:firstLine="480"/>
        <w:jc w:val="both"/>
        <w:rPr>
          <w:rFonts w:cs="宋体" w:asciiTheme="minorEastAsia" w:hAnsiTheme="minorEastAsia" w:eastAsiaTheme="minorEastAsia"/>
          <w:bCs/>
          <w:color w:val="auto"/>
          <w:sz w:val="24"/>
          <w:highlight w:val="none"/>
        </w:rPr>
      </w:pPr>
      <w:r>
        <w:rPr>
          <w:rFonts w:hint="eastAsia" w:cs="宋体" w:asciiTheme="minorEastAsia" w:hAnsiTheme="minorEastAsia" w:eastAsiaTheme="minorEastAsia"/>
          <w:bCs/>
          <w:color w:val="auto"/>
          <w:sz w:val="24"/>
          <w:highlight w:val="none"/>
        </w:rPr>
        <w:t>以下为中标后签订本项目合同的通用条款，中标供应商不得提出实质性的修改，关于专用条款将由采购人与中标供应商结合本项目具体情况协商后签订。</w:t>
      </w:r>
    </w:p>
    <w:p w14:paraId="133FD5B9">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第一节  施工合同协议书</w:t>
      </w:r>
    </w:p>
    <w:p w14:paraId="168C88DC">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鉴于</w:t>
      </w:r>
      <w:r>
        <w:rPr>
          <w:rFonts w:hint="eastAsia" w:cs="Calibri" w:asciiTheme="minorEastAsia" w:hAnsiTheme="minorEastAsia"/>
          <w:bCs/>
          <w:color w:val="auto"/>
          <w:sz w:val="24"/>
          <w:szCs w:val="24"/>
          <w:highlight w:val="none"/>
          <w:u w:val="single"/>
          <w:lang w:eastAsia="zh-CN"/>
        </w:rPr>
        <w:t>盐城市亭湖区盐东镇人民政府</w:t>
      </w:r>
      <w:r>
        <w:rPr>
          <w:rFonts w:hint="eastAsia" w:cs="宋体" w:asciiTheme="minorEastAsia" w:hAnsiTheme="minorEastAsia" w:eastAsiaTheme="minorEastAsia"/>
          <w:color w:val="auto"/>
          <w:sz w:val="24"/>
          <w:szCs w:val="24"/>
          <w:highlight w:val="none"/>
        </w:rPr>
        <w:t>（以下简称“甲方”）为实施</w:t>
      </w:r>
      <w:r>
        <w:rPr>
          <w:rFonts w:hint="eastAsia" w:cs="宋体" w:asciiTheme="minorEastAsia" w:hAnsiTheme="minorEastAsia"/>
          <w:color w:val="auto"/>
          <w:sz w:val="24"/>
          <w:szCs w:val="24"/>
          <w:highlight w:val="none"/>
          <w:u w:val="single"/>
          <w:lang w:eastAsia="zh-CN"/>
        </w:rPr>
        <w:t>盐东镇农村公路中次差路段大中修工程</w:t>
      </w:r>
      <w:r>
        <w:rPr>
          <w:rFonts w:hint="eastAsia" w:cs="宋体" w:asciiTheme="minorEastAsia" w:hAnsiTheme="minorEastAsia" w:eastAsiaTheme="minorEastAsia"/>
          <w:color w:val="auto"/>
          <w:sz w:val="24"/>
          <w:szCs w:val="24"/>
          <w:highlight w:val="none"/>
        </w:rPr>
        <w:t xml:space="preserve">，接受了 </w:t>
      </w:r>
      <w:r>
        <w:rPr>
          <w:rFonts w:hint="eastAsia" w:cs="宋体" w:asciiTheme="minorEastAsia" w:hAnsiTheme="minorEastAsia" w:eastAsiaTheme="minorEastAsia"/>
          <w:color w:val="auto"/>
          <w:sz w:val="24"/>
          <w:szCs w:val="24"/>
          <w:highlight w:val="none"/>
          <w:u w:val="single"/>
        </w:rPr>
        <w:t xml:space="preserve">      （中标人）       </w:t>
      </w:r>
      <w:r>
        <w:rPr>
          <w:rFonts w:hint="eastAsia" w:cs="宋体" w:asciiTheme="minorEastAsia" w:hAnsiTheme="minorEastAsia" w:eastAsiaTheme="minorEastAsia"/>
          <w:color w:val="auto"/>
          <w:sz w:val="24"/>
          <w:szCs w:val="24"/>
          <w:highlight w:val="none"/>
        </w:rPr>
        <w:t>（以下简称“乙方”）对</w:t>
      </w:r>
      <w:r>
        <w:rPr>
          <w:rFonts w:hint="eastAsia" w:cs="宋体" w:asciiTheme="minorEastAsia" w:hAnsiTheme="minorEastAsia"/>
          <w:color w:val="auto"/>
          <w:sz w:val="24"/>
          <w:szCs w:val="24"/>
          <w:highlight w:val="none"/>
          <w:u w:val="single"/>
          <w:lang w:eastAsia="zh-CN"/>
        </w:rPr>
        <w:t>盐东镇农村公路中次差路段大中修工程</w:t>
      </w:r>
      <w:r>
        <w:rPr>
          <w:rFonts w:hint="eastAsia" w:cs="宋体" w:asciiTheme="minorEastAsia" w:hAnsiTheme="minorEastAsia" w:eastAsiaTheme="minorEastAsia"/>
          <w:color w:val="auto"/>
          <w:sz w:val="24"/>
          <w:szCs w:val="24"/>
          <w:highlight w:val="none"/>
        </w:rPr>
        <w:t>的投标，现依据本项目甲方的竞争性磋商文件、乙方的响应文件和甲方发送给乙方的中标（成交）通知书，双方经过友好协商，共同达成并签订本协议如下：</w:t>
      </w:r>
    </w:p>
    <w:p w14:paraId="158185E7">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一、合同工程的主要内容</w:t>
      </w:r>
    </w:p>
    <w:p w14:paraId="121AF0B1">
      <w:pPr>
        <w:widowControl w:val="0"/>
        <w:spacing w:line="480" w:lineRule="exact"/>
        <w:ind w:firstLine="480"/>
        <w:jc w:val="both"/>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eastAsiaTheme="minorEastAsia"/>
          <w:color w:val="auto"/>
          <w:sz w:val="24"/>
          <w:szCs w:val="24"/>
          <w:highlight w:val="none"/>
        </w:rPr>
        <w:t xml:space="preserve">1. </w:t>
      </w:r>
      <w:r>
        <w:rPr>
          <w:rFonts w:hint="eastAsia" w:ascii="宋体" w:hAnsi="宋体" w:cs="宋体"/>
          <w:color w:val="000000" w:themeColor="text1"/>
          <w:sz w:val="24"/>
          <w14:textFill>
            <w14:solidFill>
              <w14:schemeClr w14:val="tx1"/>
            </w14:solidFill>
          </w14:textFill>
        </w:rPr>
        <w:t>工程名称</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color w:val="auto"/>
          <w:sz w:val="24"/>
          <w:szCs w:val="24"/>
          <w:highlight w:val="none"/>
          <w:u w:val="single"/>
          <w:lang w:eastAsia="zh-CN"/>
        </w:rPr>
        <w:t>盐东镇农村公路中次差路段大中修工程</w:t>
      </w:r>
      <w:r>
        <w:rPr>
          <w:rFonts w:hint="eastAsia" w:cs="宋体" w:asciiTheme="minorEastAsia" w:hAnsiTheme="minorEastAsia"/>
          <w:color w:val="auto"/>
          <w:sz w:val="24"/>
          <w:szCs w:val="24"/>
          <w:highlight w:val="none"/>
          <w:u w:val="none"/>
          <w:lang w:eastAsia="zh-CN"/>
        </w:rPr>
        <w:t>。</w:t>
      </w:r>
      <w:r>
        <w:rPr>
          <w:rFonts w:hint="eastAsia" w:cs="宋体" w:asciiTheme="minorEastAsia" w:hAnsiTheme="minorEastAsia"/>
          <w:color w:val="auto"/>
          <w:sz w:val="24"/>
          <w:szCs w:val="24"/>
          <w:highlight w:val="none"/>
          <w:u w:val="none"/>
          <w:lang w:val="en-US" w:eastAsia="zh-CN"/>
        </w:rPr>
        <w:t xml:space="preserve"> </w:t>
      </w:r>
    </w:p>
    <w:p w14:paraId="1286E8E5">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2.工程地点：</w:t>
      </w:r>
      <w:r>
        <w:rPr>
          <w:rFonts w:hint="eastAsia" w:cs="宋体" w:asciiTheme="minorEastAsia" w:hAnsiTheme="minorEastAsia" w:eastAsiaTheme="minorEastAsia"/>
          <w:color w:val="auto"/>
          <w:sz w:val="24"/>
          <w:szCs w:val="24"/>
          <w:highlight w:val="none"/>
          <w:u w:val="single"/>
          <w:lang w:eastAsia="zh-CN"/>
        </w:rPr>
        <w:t>盐东镇</w:t>
      </w:r>
      <w:r>
        <w:rPr>
          <w:rFonts w:hint="eastAsia" w:cs="宋体" w:asciiTheme="minorEastAsia" w:hAnsiTheme="minorEastAsia"/>
          <w:color w:val="auto"/>
          <w:sz w:val="24"/>
          <w:szCs w:val="24"/>
          <w:highlight w:val="none"/>
          <w:u w:val="single"/>
          <w:lang w:val="en-US" w:eastAsia="zh-CN"/>
        </w:rPr>
        <w:t>境</w:t>
      </w:r>
      <w:r>
        <w:rPr>
          <w:rFonts w:hint="eastAsia" w:cs="宋体" w:asciiTheme="minorEastAsia" w:hAnsiTheme="minorEastAsia" w:eastAsiaTheme="minorEastAsia"/>
          <w:color w:val="auto"/>
          <w:sz w:val="24"/>
          <w:szCs w:val="24"/>
          <w:highlight w:val="none"/>
          <w:u w:val="single"/>
        </w:rPr>
        <w:t>内</w:t>
      </w:r>
      <w:r>
        <w:rPr>
          <w:rFonts w:hint="eastAsia" w:cs="宋体" w:asciiTheme="minorEastAsia" w:hAnsiTheme="minorEastAsia" w:eastAsiaTheme="minorEastAsia"/>
          <w:color w:val="auto"/>
          <w:sz w:val="24"/>
          <w:szCs w:val="24"/>
          <w:highlight w:val="none"/>
        </w:rPr>
        <w:t>。</w:t>
      </w:r>
    </w:p>
    <w:p w14:paraId="27FF7397">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3.工程立项批准文号：</w:t>
      </w:r>
      <w:r>
        <w:rPr>
          <w:rFonts w:hint="eastAsia" w:cs="宋体" w:asciiTheme="minorEastAsia" w:hAnsiTheme="minorEastAsia" w:eastAsiaTheme="minorEastAsia"/>
          <w:color w:val="auto"/>
          <w:sz w:val="24"/>
          <w:szCs w:val="24"/>
          <w:highlight w:val="none"/>
          <w:u w:val="single"/>
          <w:lang w:val="en-US" w:eastAsia="zh-CN"/>
        </w:rPr>
        <w:t>盐东政审【2026】4号</w:t>
      </w:r>
      <w:r>
        <w:rPr>
          <w:rFonts w:hint="eastAsia" w:cs="宋体" w:asciiTheme="minorEastAsia" w:hAnsiTheme="minorEastAsia" w:eastAsiaTheme="minorEastAsia"/>
          <w:color w:val="auto"/>
          <w:sz w:val="24"/>
          <w:szCs w:val="24"/>
          <w:highlight w:val="none"/>
        </w:rPr>
        <w:t>。</w:t>
      </w:r>
    </w:p>
    <w:p w14:paraId="78C569A1">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4.资金来源：</w:t>
      </w:r>
      <w:r>
        <w:rPr>
          <w:rFonts w:hint="eastAsia" w:cs="宋体" w:asciiTheme="minorEastAsia" w:hAnsiTheme="minorEastAsia" w:eastAsiaTheme="minorEastAsia"/>
          <w:color w:val="auto"/>
          <w:sz w:val="24"/>
          <w:szCs w:val="24"/>
          <w:highlight w:val="none"/>
          <w:u w:val="single"/>
        </w:rPr>
        <w:t>财政</w:t>
      </w:r>
      <w:r>
        <w:rPr>
          <w:rFonts w:hint="eastAsia" w:cs="宋体" w:asciiTheme="minorEastAsia" w:hAnsiTheme="minorEastAsia" w:eastAsiaTheme="minorEastAsia"/>
          <w:color w:val="auto"/>
          <w:sz w:val="24"/>
          <w:szCs w:val="24"/>
          <w:highlight w:val="none"/>
        </w:rPr>
        <w:t>。</w:t>
      </w:r>
    </w:p>
    <w:p w14:paraId="4D62CB7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color w:val="auto"/>
          <w:sz w:val="24"/>
          <w:szCs w:val="24"/>
          <w:highlight w:val="none"/>
          <w:lang w:val="en-US" w:eastAsia="zh-CN"/>
        </w:rPr>
        <w:t>5</w:t>
      </w:r>
      <w:r>
        <w:rPr>
          <w:rFonts w:hint="eastAsia" w:cs="宋体" w:asciiTheme="minorEastAsia" w:hAnsiTheme="minorEastAsia" w:eastAsiaTheme="minorEastAsia"/>
          <w:color w:val="auto"/>
          <w:sz w:val="24"/>
          <w:szCs w:val="24"/>
          <w:highlight w:val="none"/>
        </w:rPr>
        <w:t>. 施工属性：</w:t>
      </w:r>
      <w:r>
        <w:rPr>
          <w:rFonts w:hint="eastAsia" w:cs="宋体" w:asciiTheme="minorEastAsia" w:hAnsiTheme="minorEastAsia" w:eastAsiaTheme="minorEastAsia"/>
          <w:color w:val="auto"/>
          <w:sz w:val="24"/>
          <w:szCs w:val="24"/>
          <w:highlight w:val="none"/>
          <w:u w:val="single"/>
        </w:rPr>
        <w:t>包工包料。</w:t>
      </w:r>
    </w:p>
    <w:p w14:paraId="5F9A4C01">
      <w:pPr>
        <w:widowControl w:val="0"/>
        <w:spacing w:line="480" w:lineRule="exact"/>
        <w:ind w:firstLine="480"/>
        <w:jc w:val="both"/>
        <w:rPr>
          <w:rFonts w:cs="宋体" w:asciiTheme="minorEastAsia" w:hAnsiTheme="minorEastAsia" w:eastAsiaTheme="minorEastAsia"/>
          <w:bCs/>
          <w:color w:val="auto"/>
          <w:sz w:val="24"/>
          <w:szCs w:val="24"/>
          <w:highlight w:val="none"/>
          <w:u w:val="none"/>
        </w:rPr>
      </w:pPr>
      <w:r>
        <w:rPr>
          <w:rFonts w:hint="eastAsia" w:cs="宋体" w:asciiTheme="minorEastAsia" w:hAnsi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 xml:space="preserve">. </w:t>
      </w:r>
      <w:r>
        <w:rPr>
          <w:rFonts w:hint="eastAsia" w:ascii="宋体" w:hAnsi="宋体" w:cs="宋体"/>
          <w:color w:val="000000" w:themeColor="text1"/>
          <w:sz w:val="24"/>
          <w14:textFill>
            <w14:solidFill>
              <w14:schemeClr w14:val="tx1"/>
            </w14:solidFill>
          </w14:textFill>
        </w:rPr>
        <w:t>工程承包范围</w:t>
      </w:r>
      <w:r>
        <w:rPr>
          <w:rFonts w:hint="eastAsia" w:cs="宋体" w:asciiTheme="minorEastAsia" w:hAnsiTheme="minorEastAsia" w:eastAsiaTheme="minorEastAsia"/>
          <w:color w:val="auto"/>
          <w:sz w:val="24"/>
          <w:szCs w:val="24"/>
          <w:highlight w:val="none"/>
        </w:rPr>
        <w:t>：</w:t>
      </w:r>
      <w:r>
        <w:rPr>
          <w:rFonts w:hint="eastAsia" w:ascii="宋体" w:hAnsi="宋体" w:cs="宋体"/>
          <w:bCs/>
          <w:color w:val="000000" w:themeColor="text1"/>
          <w:sz w:val="24"/>
          <w:lang w:eastAsia="zh-CN"/>
          <w14:textFill>
            <w14:solidFill>
              <w14:schemeClr w14:val="tx1"/>
            </w14:solidFill>
          </w14:textFill>
        </w:rPr>
        <w:t>盐东镇农村公路中次差路段大中修工程施工，</w:t>
      </w:r>
      <w:r>
        <w:rPr>
          <w:rFonts w:hint="eastAsia" w:ascii="宋体" w:hAnsi="宋体" w:eastAsia="宋体" w:cs="宋体"/>
          <w:color w:val="000000" w:themeColor="text1"/>
          <w:kern w:val="0"/>
          <w:sz w:val="24"/>
          <w:lang w:val="en-US" w:eastAsia="zh-CN"/>
          <w14:textFill>
            <w14:solidFill>
              <w14:schemeClr w14:val="tx1"/>
            </w14:solidFill>
          </w14:textFill>
        </w:rPr>
        <w:t>盐曙线现状为水泥混凝土路面，全长约4.68km，现状道路宽5.5</w:t>
      </w:r>
      <w:r>
        <w:rPr>
          <w:rFonts w:hint="eastAsia" w:ascii="宋体" w:hAnsi="宋体" w:eastAsia="宋体" w:cs="宋体"/>
          <w:b w:val="0"/>
          <w:bCs w:val="0"/>
          <w:spacing w:val="9"/>
          <w:sz w:val="24"/>
          <w:szCs w:val="24"/>
          <w:vertAlign w:val="baseline"/>
          <w:lang w:val="en-US" w:eastAsia="zh-CN"/>
        </w:rPr>
        <w:t>m，路面维修面积约2560m²，桥梁搭板维修面积约33m²；盐中线东子午路现状为水泥混凝土路面，全长约3.67km，现状道路宽5.5m，路面维修面积约7814m²，桥梁搭板维修面积约132m²；中东七组进出路现状为水泥混凝土路面，全长约1.66km，现状道路宽6.0m，路面维修面积约2058m²；坞港农庄路现状为水泥混凝土路面，全长约1.78km，现状道路宽3.5m，路面维修面积约2605m²，桥梁搭板维修面积约42m²；海棠桥北路现状为水泥混凝土路面，全长约1.32km，现状道路宽6.0m；因现状道路破损严重，采取整路维修，共五条路，全长约13.11km</w:t>
      </w:r>
      <w:r>
        <w:rPr>
          <w:rFonts w:hint="eastAsia" w:cs="宋体" w:asciiTheme="minorEastAsia" w:hAnsiTheme="minorEastAsia"/>
          <w:bCs/>
          <w:color w:val="auto"/>
          <w:sz w:val="24"/>
          <w:szCs w:val="24"/>
          <w:highlight w:val="none"/>
          <w:u w:val="none"/>
          <w:lang w:eastAsia="zh-CN"/>
        </w:rPr>
        <w:t>；</w:t>
      </w:r>
      <w:r>
        <w:rPr>
          <w:rFonts w:asciiTheme="minorEastAsia" w:hAnsiTheme="minorEastAsia" w:eastAsiaTheme="minorEastAsia"/>
          <w:bCs/>
          <w:color w:val="auto"/>
          <w:sz w:val="24"/>
          <w:szCs w:val="24"/>
          <w:highlight w:val="none"/>
        </w:rPr>
        <w:t>具体以采购人提供的工程量清单、施工图纸</w:t>
      </w:r>
      <w:r>
        <w:rPr>
          <w:rFonts w:hint="eastAsia" w:asciiTheme="minorEastAsia" w:hAnsiTheme="minorEastAsia" w:eastAsiaTheme="minorEastAsia"/>
          <w:bCs/>
          <w:color w:val="auto"/>
          <w:sz w:val="24"/>
          <w:szCs w:val="24"/>
          <w:highlight w:val="none"/>
        </w:rPr>
        <w:t>及采购人现场要求</w:t>
      </w:r>
      <w:r>
        <w:rPr>
          <w:rFonts w:asciiTheme="minorEastAsia" w:hAnsiTheme="minorEastAsia" w:eastAsiaTheme="minorEastAsia"/>
          <w:bCs/>
          <w:color w:val="auto"/>
          <w:sz w:val="24"/>
          <w:szCs w:val="24"/>
          <w:highlight w:val="none"/>
        </w:rPr>
        <w:t>为准，</w:t>
      </w:r>
      <w:r>
        <w:rPr>
          <w:rFonts w:hint="eastAsia" w:cs="宋体" w:asciiTheme="minorEastAsia" w:hAnsiTheme="minorEastAsia" w:eastAsiaTheme="minorEastAsia"/>
          <w:bCs/>
          <w:color w:val="auto"/>
          <w:sz w:val="24"/>
          <w:szCs w:val="24"/>
          <w:highlight w:val="none"/>
        </w:rPr>
        <w:t>服从采购人管理</w:t>
      </w:r>
      <w:r>
        <w:rPr>
          <w:rFonts w:hint="eastAsia" w:ascii="宋体" w:hAnsi="宋体" w:cs="宋体"/>
          <w:color w:val="000000" w:themeColor="text1"/>
          <w:sz w:val="24"/>
          <w14:textFill>
            <w14:solidFill>
              <w14:schemeClr w14:val="tx1"/>
            </w14:solidFill>
          </w14:textFill>
        </w:rPr>
        <w:t>，采购人保留对上述采购范围进行适当调整的权利</w:t>
      </w:r>
      <w:r>
        <w:rPr>
          <w:rFonts w:hint="eastAsia" w:ascii="宋体" w:hAnsi="宋体" w:cs="宋体"/>
          <w:bCs/>
          <w:color w:val="000000" w:themeColor="text1"/>
          <w:sz w:val="24"/>
          <w14:textFill>
            <w14:solidFill>
              <w14:schemeClr w14:val="tx1"/>
            </w14:solidFill>
          </w14:textFill>
        </w:rPr>
        <w:t>。</w:t>
      </w:r>
    </w:p>
    <w:p w14:paraId="659C4DBA">
      <w:pPr>
        <w:widowControl w:val="0"/>
        <w:spacing w:line="480" w:lineRule="exact"/>
        <w:ind w:firstLine="480"/>
        <w:jc w:val="both"/>
        <w:rPr>
          <w:rFonts w:hint="eastAsia" w:cs="宋体" w:asciiTheme="minorEastAsia" w:hAnsiTheme="minorEastAsia" w:eastAsiaTheme="minorEastAsia"/>
          <w:color w:val="auto"/>
          <w:sz w:val="24"/>
          <w:szCs w:val="24"/>
          <w:highlight w:val="none"/>
          <w:u w:val="single"/>
        </w:rPr>
      </w:pPr>
      <w:r>
        <w:rPr>
          <w:rFonts w:hint="eastAsia" w:cs="宋体" w:asciiTheme="minorEastAsia" w:hAnsiTheme="minorEastAsia"/>
          <w:color w:val="auto"/>
          <w:sz w:val="24"/>
          <w:szCs w:val="24"/>
          <w:highlight w:val="none"/>
          <w:lang w:val="en-US" w:eastAsia="zh-CN"/>
        </w:rPr>
        <w:t>7</w:t>
      </w:r>
      <w:r>
        <w:rPr>
          <w:rFonts w:hint="eastAsia" w:cs="宋体" w:asciiTheme="minorEastAsia" w:hAnsiTheme="minorEastAsia" w:eastAsiaTheme="minorEastAsia"/>
          <w:color w:val="auto"/>
          <w:sz w:val="24"/>
          <w:szCs w:val="24"/>
          <w:highlight w:val="none"/>
        </w:rPr>
        <w:t>. 技术标准：</w:t>
      </w:r>
      <w:r>
        <w:rPr>
          <w:rFonts w:hint="eastAsia" w:cs="宋体" w:asciiTheme="minorEastAsia" w:hAnsiTheme="minorEastAsia" w:eastAsiaTheme="minorEastAsia"/>
          <w:color w:val="auto"/>
          <w:sz w:val="24"/>
          <w:szCs w:val="24"/>
          <w:highlight w:val="none"/>
          <w:u w:val="single"/>
        </w:rPr>
        <w:t>按国家及设计图纸标准。</w:t>
      </w:r>
    </w:p>
    <w:p w14:paraId="6B478AF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二、合同工期及缺陷责任期</w:t>
      </w:r>
    </w:p>
    <w:p w14:paraId="723F0847">
      <w:pPr>
        <w:widowControl w:val="0"/>
        <w:spacing w:line="480" w:lineRule="exact"/>
        <w:ind w:firstLine="480"/>
        <w:jc w:val="both"/>
        <w:rPr>
          <w:rFonts w:cs="宋体" w:asciiTheme="minorEastAsia" w:hAnsiTheme="minorEastAsia" w:eastAsiaTheme="minorEastAsia"/>
          <w:color w:val="auto"/>
          <w:sz w:val="24"/>
          <w:szCs w:val="24"/>
          <w:highlight w:val="yellow"/>
        </w:rPr>
      </w:pPr>
      <w:r>
        <w:rPr>
          <w:rFonts w:hint="eastAsia" w:cs="宋体" w:asciiTheme="minorEastAsia" w:hAnsiTheme="minorEastAsia" w:eastAsiaTheme="minorEastAsia"/>
          <w:color w:val="auto"/>
          <w:sz w:val="24"/>
          <w:szCs w:val="24"/>
          <w:highlight w:val="none"/>
        </w:rPr>
        <w:t>合同工期：</w:t>
      </w:r>
      <w:r>
        <w:rPr>
          <w:rFonts w:hint="eastAsia" w:cs="宋体" w:asciiTheme="minorEastAsia" w:hAnsiTheme="minorEastAsia" w:eastAsiaTheme="minorEastAsia"/>
          <w:color w:val="auto"/>
          <w:sz w:val="24"/>
          <w:szCs w:val="24"/>
          <w:highlight w:val="none"/>
          <w:lang w:eastAsia="zh-CN"/>
        </w:rPr>
        <w:t>90日历天</w:t>
      </w:r>
      <w:r>
        <w:rPr>
          <w:rFonts w:hint="eastAsia" w:cs="宋体" w:asciiTheme="minorEastAsia" w:hAnsiTheme="minorEastAsia" w:eastAsiaTheme="minorEastAsia"/>
          <w:color w:val="auto"/>
          <w:sz w:val="24"/>
          <w:szCs w:val="24"/>
          <w:highlight w:val="none"/>
        </w:rPr>
        <w:t>，具体开工日期以甲方的书面通知为准。</w:t>
      </w:r>
    </w:p>
    <w:p w14:paraId="4581B65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缺陷责任期：自实际交工之日起计算2年。</w:t>
      </w:r>
    </w:p>
    <w:p w14:paraId="1D3CF42F">
      <w:pPr>
        <w:widowControl w:val="0"/>
        <w:spacing w:line="480" w:lineRule="exact"/>
        <w:ind w:firstLine="480"/>
        <w:jc w:val="both"/>
        <w:rPr>
          <w:rFonts w:cs="Calibri"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三、质量目标：</w:t>
      </w:r>
      <w:r>
        <w:rPr>
          <w:rFonts w:hint="eastAsia" w:cs="宋体" w:asciiTheme="minorEastAsia" w:hAnsiTheme="minorEastAsia" w:eastAsiaTheme="minorEastAsia"/>
          <w:color w:val="auto"/>
          <w:sz w:val="24"/>
          <w:szCs w:val="24"/>
          <w:highlight w:val="none"/>
          <w:u w:val="single"/>
        </w:rPr>
        <w:t xml:space="preserve"> 合格 </w:t>
      </w:r>
      <w:r>
        <w:rPr>
          <w:rFonts w:hint="eastAsia" w:cs="宋体" w:asciiTheme="minorEastAsia" w:hAnsiTheme="minorEastAsia" w:eastAsiaTheme="minorEastAsia"/>
          <w:color w:val="auto"/>
          <w:sz w:val="24"/>
          <w:szCs w:val="24"/>
          <w:highlight w:val="none"/>
        </w:rPr>
        <w:t>，安全目标：</w:t>
      </w:r>
      <w:r>
        <w:rPr>
          <w:rFonts w:hint="eastAsia" w:cs="宋体" w:asciiTheme="minorEastAsia" w:hAnsiTheme="minorEastAsia" w:eastAsiaTheme="minorEastAsia"/>
          <w:color w:val="auto"/>
          <w:sz w:val="24"/>
          <w:szCs w:val="24"/>
          <w:highlight w:val="none"/>
          <w:u w:val="single"/>
        </w:rPr>
        <w:t xml:space="preserve"> 无安全生产责任事故 </w:t>
      </w:r>
      <w:r>
        <w:rPr>
          <w:rFonts w:hint="eastAsia" w:cs="宋体" w:asciiTheme="minorEastAsia" w:hAnsiTheme="minorEastAsia" w:eastAsiaTheme="minorEastAsia"/>
          <w:color w:val="auto"/>
          <w:sz w:val="24"/>
          <w:szCs w:val="24"/>
          <w:highlight w:val="none"/>
        </w:rPr>
        <w:t>，</w:t>
      </w:r>
      <w:r>
        <w:rPr>
          <w:rFonts w:cs="Calibri" w:asciiTheme="minorEastAsia" w:hAnsiTheme="minorEastAsia" w:eastAsiaTheme="minorEastAsia"/>
          <w:color w:val="auto"/>
          <w:sz w:val="24"/>
          <w:szCs w:val="24"/>
          <w:highlight w:val="none"/>
        </w:rPr>
        <w:t>承包人项目经理：</w:t>
      </w:r>
      <w:r>
        <w:rPr>
          <w:rFonts w:hint="eastAsia" w:cs="宋体" w:asciiTheme="minorEastAsia" w:hAnsiTheme="minorEastAsia" w:eastAsiaTheme="minorEastAsia"/>
          <w:color w:val="auto"/>
          <w:sz w:val="24"/>
          <w:szCs w:val="24"/>
          <w:highlight w:val="none"/>
          <w:u w:val="single"/>
        </w:rPr>
        <w:t xml:space="preserve">          </w:t>
      </w:r>
      <w:r>
        <w:rPr>
          <w:rFonts w:hint="eastAsia" w:cs="Calibri" w:asciiTheme="minorEastAsia" w:hAnsiTheme="minorEastAsia" w:eastAsiaTheme="minorEastAsia"/>
          <w:color w:val="auto"/>
          <w:sz w:val="24"/>
          <w:szCs w:val="24"/>
          <w:highlight w:val="none"/>
        </w:rPr>
        <w:t>，承包人项目总工（技术负责人）：</w:t>
      </w:r>
      <w:r>
        <w:rPr>
          <w:rFonts w:hint="eastAsia" w:cs="宋体" w:asciiTheme="minorEastAsia" w:hAnsiTheme="minorEastAsia" w:eastAsiaTheme="minorEastAsia"/>
          <w:color w:val="auto"/>
          <w:sz w:val="24"/>
          <w:szCs w:val="24"/>
          <w:highlight w:val="none"/>
          <w:u w:val="single"/>
        </w:rPr>
        <w:t xml:space="preserve">          </w:t>
      </w:r>
      <w:r>
        <w:rPr>
          <w:rFonts w:hint="eastAsia" w:cs="Calibri" w:asciiTheme="minorEastAsia" w:hAnsiTheme="minorEastAsia" w:eastAsiaTheme="minorEastAsia"/>
          <w:color w:val="auto"/>
          <w:sz w:val="24"/>
          <w:szCs w:val="24"/>
          <w:highlight w:val="none"/>
        </w:rPr>
        <w:t>。</w:t>
      </w:r>
    </w:p>
    <w:p w14:paraId="5A01A32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四、合同价格</w:t>
      </w:r>
    </w:p>
    <w:p w14:paraId="4B9375A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 合同总价（含施工及缺陷责任期的全部工作）</w:t>
      </w:r>
    </w:p>
    <w:p w14:paraId="19537C8E">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人民币：（大写）</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 元）（含暂列金额及安全生产费）。</w:t>
      </w:r>
    </w:p>
    <w:p w14:paraId="1A8DE8C5">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五、支付方式</w:t>
      </w:r>
    </w:p>
    <w:p w14:paraId="16D9D04C">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本项目付款方式：</w:t>
      </w:r>
    </w:p>
    <w:p w14:paraId="79F04EC4">
      <w:pPr>
        <w:widowControl w:val="0"/>
        <w:spacing w:line="480" w:lineRule="exact"/>
        <w:ind w:firstLine="480"/>
        <w:jc w:val="both"/>
        <w:rPr>
          <w:rFonts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1、合同签订后可预付合同价款（不含暂列金）的10%；</w:t>
      </w:r>
    </w:p>
    <w:p w14:paraId="35A8822E">
      <w:pPr>
        <w:widowControl w:val="0"/>
        <w:spacing w:line="480" w:lineRule="exact"/>
        <w:ind w:firstLine="480"/>
        <w:jc w:val="both"/>
        <w:rPr>
          <w:rFonts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2、工程竣工验收合格后，发包人支付至合同价的</w:t>
      </w:r>
      <w:r>
        <w:rPr>
          <w:rFonts w:hint="eastAsia" w:cs="Calibri" w:asciiTheme="minorEastAsia" w:hAnsiTheme="minorEastAsia" w:eastAsiaTheme="minorEastAsia"/>
          <w:bCs/>
          <w:color w:val="auto"/>
          <w:sz w:val="24"/>
          <w:szCs w:val="24"/>
          <w:highlight w:val="none"/>
          <w:lang w:val="en-US" w:eastAsia="zh-CN"/>
        </w:rPr>
        <w:t>5</w:t>
      </w:r>
      <w:r>
        <w:rPr>
          <w:rFonts w:hint="eastAsia" w:cs="Calibri" w:asciiTheme="minorEastAsia" w:hAnsiTheme="minorEastAsia" w:eastAsiaTheme="minorEastAsia"/>
          <w:bCs/>
          <w:color w:val="auto"/>
          <w:sz w:val="24"/>
          <w:szCs w:val="24"/>
          <w:highlight w:val="none"/>
        </w:rPr>
        <w:t>0%；</w:t>
      </w:r>
    </w:p>
    <w:p w14:paraId="06EF794A">
      <w:pPr>
        <w:widowControl w:val="0"/>
        <w:spacing w:line="480" w:lineRule="exact"/>
        <w:ind w:firstLine="480"/>
        <w:jc w:val="both"/>
        <w:rPr>
          <w:rFonts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3、工程竣工验收合格一年后10日内，付至合同总价的80%；</w:t>
      </w:r>
    </w:p>
    <w:p w14:paraId="4701221D">
      <w:pPr>
        <w:widowControl w:val="0"/>
        <w:spacing w:line="480" w:lineRule="exact"/>
        <w:ind w:firstLine="480"/>
        <w:jc w:val="both"/>
        <w:rPr>
          <w:rFonts w:hint="eastAsia" w:cs="Calibri" w:asciiTheme="minorEastAsia" w:hAnsiTheme="minorEastAsia" w:eastAsiaTheme="minorEastAsia"/>
          <w:bCs/>
          <w:color w:val="auto"/>
          <w:sz w:val="24"/>
          <w:szCs w:val="24"/>
          <w:highlight w:val="yellow"/>
          <w:lang w:val="en-US" w:eastAsia="zh-CN"/>
        </w:rPr>
      </w:pPr>
      <w:r>
        <w:rPr>
          <w:rFonts w:hint="eastAsia" w:cs="Calibri" w:asciiTheme="minorEastAsia" w:hAnsiTheme="minorEastAsia" w:eastAsiaTheme="minorEastAsia"/>
          <w:bCs/>
          <w:color w:val="auto"/>
          <w:sz w:val="24"/>
          <w:szCs w:val="24"/>
          <w:highlight w:val="none"/>
        </w:rPr>
        <w:t>4、工程竣工验收合格二年后，且经审计部门审计并出具报告，付清工程的所有审计价款（如还在质保期内，留5%审计价款作为质量保证金，待质保期满后无息退还）</w:t>
      </w:r>
      <w:r>
        <w:rPr>
          <w:rFonts w:hint="eastAsia" w:cs="Calibri" w:asciiTheme="minorEastAsia" w:hAnsiTheme="minorEastAsia" w:eastAsiaTheme="minorEastAsia"/>
          <w:bCs/>
          <w:color w:val="auto"/>
          <w:sz w:val="24"/>
          <w:szCs w:val="24"/>
          <w:highlight w:val="none"/>
          <w:lang w:val="en-US" w:eastAsia="zh-CN"/>
        </w:rPr>
        <w:t>。</w:t>
      </w:r>
    </w:p>
    <w:p w14:paraId="6F6E4677">
      <w:pPr>
        <w:widowControl w:val="0"/>
        <w:spacing w:line="480" w:lineRule="exact"/>
        <w:ind w:firstLine="480"/>
        <w:jc w:val="both"/>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注：上述款项均不计任何银行利息和财务费用，甲方付款前，乙方应提供相应金额的增值税发票。</w:t>
      </w:r>
    </w:p>
    <w:p w14:paraId="657DCC1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六、双方的责任和义务</w:t>
      </w:r>
    </w:p>
    <w:p w14:paraId="5FF9305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（一）甲方的责任和义务</w:t>
      </w:r>
    </w:p>
    <w:p w14:paraId="7BA932FE">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 合同签订后的5天内，在适当的时候向乙方进行技术交底。</w:t>
      </w:r>
    </w:p>
    <w:p w14:paraId="087B026C">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按照支付方式的规定，按时向乙方支付应付的工程款。</w:t>
      </w:r>
    </w:p>
    <w:p w14:paraId="3CF7589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协助乙方协调好与政府有关部门、其他施工单位、当地群众之间的关系。</w:t>
      </w:r>
    </w:p>
    <w:p w14:paraId="267917C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4．在项目实施过程中对乙方进行履约考核，并将履约考核结果上报相关交通主管部门。</w:t>
      </w:r>
    </w:p>
    <w:p w14:paraId="26E4D0FC">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在项目实施过程中严格执行交通部《关于在交通基础设施建设中加强廉政建设若干意见》的规定，不得索要或接受乙方的礼金、有价证券和贵重物品以及在乙方处报销应由个人支付的费用；不得参加乙方安排的旅游、超标准宴请和娱乐活动；不得以任何理由向乙方推荐分包单位或推销材料；秉公办事，不得营私舞弊。</w:t>
      </w:r>
    </w:p>
    <w:p w14:paraId="4751454F">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（二）乙方的责任和义务</w:t>
      </w:r>
    </w:p>
    <w:p w14:paraId="3991CBF2">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Calibri"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 xml:space="preserve"> 合同签订后的7天内乙方必须组织人员开工，否则按违约处理。</w:t>
      </w:r>
    </w:p>
    <w:p w14:paraId="14B9F01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严格履行合同，精心组织施工，加强质量控制，按规定的工期和质量目标完成本合同工程及其缺陷的修复，并按规定时间向甲方提供各项竣工文件和资料。</w:t>
      </w:r>
    </w:p>
    <w:p w14:paraId="65FA68B7">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建立健全安全责任制。建立安全生产管理系统，配备专职安全员；配置足够的消防设备和器材；创建施工现场安全生产和文明生产的氛围，定期进行安全教育和检查；所有在现场的工作人员必须按规定穿戴防护用品，并持证上岗；所有施工机具和高空作业设备均应定期检查、保养和维护，确保处于完好状态。施工过程中如发生安全事故，一切责任均由乙方承担。</w:t>
      </w:r>
    </w:p>
    <w:p w14:paraId="0B0352E9">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 按国家有关规定和施工工程需要办理必要的工程、人员、设备的保险。</w:t>
      </w:r>
    </w:p>
    <w:p w14:paraId="5C05AD9D">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 按规定缴纳有关的税费和规费。</w:t>
      </w:r>
    </w:p>
    <w:p w14:paraId="4085DF7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 遵守国家和地方有关环境保护、文物保护、爆破作业、事故处理等各项规定。</w:t>
      </w:r>
    </w:p>
    <w:p w14:paraId="51FCDAD5">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 妥善处理好与交叉作业的其他施工单位以及施工现场邻近群众的关系。</w:t>
      </w:r>
    </w:p>
    <w:p w14:paraId="0BFAA629">
      <w:pPr>
        <w:widowControl w:val="0"/>
        <w:spacing w:line="480" w:lineRule="exact"/>
        <w:ind w:firstLine="480"/>
        <w:jc w:val="both"/>
        <w:rPr>
          <w:rFonts w:cs="Calibri"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 按照《劳动法》规定雇佣民工，确保民工工资按时足额到位。工程结束后如发生拖欠农民工工资或材料款项等因素导致上访，经查属实并协调无效的，发包方有权在承包方工程款中直接支付。</w:t>
      </w:r>
    </w:p>
    <w:p w14:paraId="77AD9D01">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9.严格执行《江苏省交通厅关于限制违反廉政合同的投标人进入交通工程建设市场的若干规定》的通知，不得向甲方工作人员行贿或馈赠礼金、有价证券和贵重物品；不得以任何名义为甲方报销应由其个人支付的费用；不得为甲方工作人员购置或提供通讯工具、交通工具、家用电器和高档办公用品；不得安排甲方人员旅游、超标准宴请和娱乐活动；不得以任何名义给甲方及其工作人员或其近亲属发放红利、工资或奖金。</w:t>
      </w:r>
    </w:p>
    <w:p w14:paraId="4F5DB8F3">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en-US" w:eastAsia="zh-CN"/>
        </w:rPr>
        <w:t>10.</w:t>
      </w:r>
      <w:r>
        <w:rPr>
          <w:rFonts w:hint="eastAsia" w:cs="宋体" w:asciiTheme="minorEastAsia" w:hAnsiTheme="minorEastAsia" w:eastAsiaTheme="minorEastAsia"/>
          <w:color w:val="auto"/>
          <w:sz w:val="24"/>
          <w:szCs w:val="24"/>
          <w:highlight w:val="none"/>
        </w:rPr>
        <w:t>施工过程中项目经理</w:t>
      </w:r>
      <w:r>
        <w:rPr>
          <w:rFonts w:hint="eastAsia" w:cs="宋体" w:asciiTheme="minorEastAsia" w:hAnsiTheme="minorEastAsia" w:eastAsiaTheme="minorEastAsia"/>
          <w:color w:val="auto"/>
          <w:sz w:val="24"/>
          <w:szCs w:val="24"/>
          <w:highlight w:val="none"/>
          <w:lang w:val="en-US" w:eastAsia="zh-CN"/>
        </w:rPr>
        <w:t>等管理人员</w:t>
      </w:r>
      <w:r>
        <w:rPr>
          <w:rFonts w:hint="eastAsia" w:cs="宋体" w:asciiTheme="minorEastAsia" w:hAnsiTheme="minorEastAsia" w:eastAsiaTheme="minorEastAsia"/>
          <w:color w:val="auto"/>
          <w:sz w:val="24"/>
          <w:szCs w:val="24"/>
          <w:highlight w:val="none"/>
        </w:rPr>
        <w:t>必须常驻现场实施施工管理，并参与建设单位的日常考勤。中途项目负责人和项目部人员需离岗必须履行书面请假手续并经</w:t>
      </w:r>
      <w:r>
        <w:rPr>
          <w:rFonts w:hint="eastAsia" w:cs="宋体" w:asciiTheme="minorEastAsia" w:hAnsiTheme="minorEastAsia" w:eastAsiaTheme="minorEastAsia"/>
          <w:color w:val="auto"/>
          <w:sz w:val="24"/>
          <w:szCs w:val="24"/>
          <w:highlight w:val="none"/>
          <w:lang w:eastAsia="zh-CN"/>
        </w:rPr>
        <w:t>采购人</w:t>
      </w:r>
      <w:r>
        <w:rPr>
          <w:rFonts w:hint="eastAsia" w:cs="宋体" w:asciiTheme="minorEastAsia" w:hAnsiTheme="minorEastAsia" w:eastAsiaTheme="minorEastAsia"/>
          <w:color w:val="auto"/>
          <w:sz w:val="24"/>
          <w:szCs w:val="24"/>
          <w:highlight w:val="none"/>
        </w:rPr>
        <w:t>同意。若未经</w:t>
      </w:r>
      <w:r>
        <w:rPr>
          <w:rFonts w:hint="eastAsia" w:cs="宋体" w:asciiTheme="minorEastAsia" w:hAnsiTheme="minorEastAsia" w:eastAsiaTheme="minorEastAsia"/>
          <w:color w:val="auto"/>
          <w:sz w:val="24"/>
          <w:szCs w:val="24"/>
          <w:highlight w:val="none"/>
          <w:lang w:eastAsia="zh-CN"/>
        </w:rPr>
        <w:t>采购人</w:t>
      </w:r>
      <w:r>
        <w:rPr>
          <w:rFonts w:hint="eastAsia" w:cs="宋体" w:asciiTheme="minorEastAsia" w:hAnsiTheme="minorEastAsia" w:eastAsiaTheme="minorEastAsia"/>
          <w:color w:val="auto"/>
          <w:sz w:val="24"/>
          <w:szCs w:val="24"/>
          <w:highlight w:val="none"/>
        </w:rPr>
        <w:t>同意而擅自离岗的，将处以每人每天2000.00元的违约金，在支付工程款时从应付的工程款中扣除。</w:t>
      </w:r>
    </w:p>
    <w:p w14:paraId="2297AB7B">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lang w:val="en-US" w:eastAsia="zh-CN"/>
        </w:rPr>
        <w:t>1</w:t>
      </w:r>
      <w:r>
        <w:rPr>
          <w:rFonts w:hint="eastAsia" w:cs="宋体" w:asciiTheme="minorEastAsia" w:hAnsiTheme="minorEastAsia" w:eastAsiaTheme="minorEastAsia"/>
          <w:color w:val="auto"/>
          <w:sz w:val="24"/>
          <w:szCs w:val="24"/>
          <w:highlight w:val="none"/>
        </w:rPr>
        <w:t>.乙方施工过程中必须无条件服从甲方对工程量的调整，否则视为乙方违约。</w:t>
      </w:r>
    </w:p>
    <w:p w14:paraId="71A349D4">
      <w:pPr>
        <w:widowControl w:val="0"/>
        <w:spacing w:line="480" w:lineRule="exact"/>
        <w:ind w:firstLine="480"/>
        <w:jc w:val="both"/>
        <w:rPr>
          <w:rFonts w:hint="default" w:cs="宋体" w:asciiTheme="minorEastAsia" w:hAnsiTheme="minorEastAsia" w:eastAsiaTheme="minorEastAsia"/>
          <w:b/>
          <w:bCs/>
          <w:color w:val="auto"/>
          <w:sz w:val="24"/>
          <w:szCs w:val="24"/>
          <w:highlight w:val="none"/>
          <w:lang w:val="en-US" w:eastAsia="zh-CN"/>
        </w:rPr>
      </w:pPr>
      <w:r>
        <w:rPr>
          <w:rFonts w:hint="eastAsia" w:cs="宋体" w:asciiTheme="minorEastAsia" w:hAnsiTheme="minorEastAsia" w:eastAsiaTheme="minorEastAsia"/>
          <w:b/>
          <w:bCs/>
          <w:color w:val="auto"/>
          <w:sz w:val="24"/>
          <w:szCs w:val="24"/>
          <w:highlight w:val="none"/>
          <w:lang w:val="en-US" w:eastAsia="zh-CN"/>
        </w:rPr>
        <w:t>12.工程竣工验收合格后三个月内必须报审计资料，因乙方原因造成的逾期责任自负。</w:t>
      </w:r>
    </w:p>
    <w:p w14:paraId="18694028">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七、合同文件的组成：</w:t>
      </w:r>
    </w:p>
    <w:p w14:paraId="3F7B58B6">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 下列文件应视为构成并作为阅读和理解本协议书的组成部分：</w:t>
      </w:r>
    </w:p>
    <w:p w14:paraId="70B1726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(1)本合同协议书</w:t>
      </w:r>
    </w:p>
    <w:p w14:paraId="6E8FFE4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(2)中标通知书</w:t>
      </w:r>
    </w:p>
    <w:p w14:paraId="72C328E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(3)磋商报价表（含投标人在评标期间递交的澄清文件和补充资料）</w:t>
      </w:r>
    </w:p>
    <w:p w14:paraId="5C36CB19">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(4)竞争性磋商文件（含补遗书）</w:t>
      </w:r>
    </w:p>
    <w:p w14:paraId="09A1126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(5)项目专用合同条款</w:t>
      </w:r>
    </w:p>
    <w:p w14:paraId="232ABFDC">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(6)公路工程专用合同条款</w:t>
      </w:r>
    </w:p>
    <w:p w14:paraId="3B36050F">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(7)通用合同条款</w:t>
      </w:r>
    </w:p>
    <w:p w14:paraId="45A54709">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(8)公路工程施工相关技术规范</w:t>
      </w:r>
    </w:p>
    <w:p w14:paraId="4335D715">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(9)图纸（含补遗书中与图纸有关部分）</w:t>
      </w:r>
    </w:p>
    <w:p w14:paraId="2D678FB8">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(10)已标价工程量清单</w:t>
      </w:r>
    </w:p>
    <w:p w14:paraId="47D7494C">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(11)磋商响应函</w:t>
      </w:r>
    </w:p>
    <w:p w14:paraId="51BF45F4">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上述文件将互相补充，若有不明确或不一致之处，以上列次序在先者为准。</w:t>
      </w:r>
    </w:p>
    <w:p w14:paraId="65C97E42">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八、本协议书在乙方按竞争性磋商文件中的规定向甲方提供了履约担保，由双方法定代表人或其授权代理人签署并加盖单位公章后生效。全部工程完工后经交、竣工验收合格、缺陷责任期满签发缺陷责任终止证书后失效。</w:t>
      </w:r>
    </w:p>
    <w:p w14:paraId="5AC4034D">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九、本</w:t>
      </w:r>
      <w:r>
        <w:rPr>
          <w:rFonts w:hint="eastAsia" w:cs="宋体" w:asciiTheme="minorEastAsia" w:hAnsiTheme="minorEastAsia" w:eastAsiaTheme="minorEastAsia"/>
          <w:color w:val="auto"/>
          <w:sz w:val="24"/>
          <w:szCs w:val="24"/>
          <w:highlight w:val="none"/>
          <w:lang w:val="en-US" w:eastAsia="zh-CN"/>
        </w:rPr>
        <w:t>协议书</w:t>
      </w:r>
      <w:r>
        <w:rPr>
          <w:rFonts w:hint="eastAsia" w:cs="宋体" w:asciiTheme="minorEastAsia" w:hAnsiTheme="minorEastAsia" w:eastAsiaTheme="minorEastAsia"/>
          <w:color w:val="auto"/>
          <w:sz w:val="24"/>
          <w:szCs w:val="24"/>
          <w:highlight w:val="none"/>
        </w:rPr>
        <w:t>一式</w:t>
      </w:r>
      <w:r>
        <w:rPr>
          <w:rFonts w:hint="eastAsia" w:cs="宋体" w:asciiTheme="minorEastAsia" w:hAnsiTheme="minorEastAsia" w:eastAsiaTheme="minorEastAsia"/>
          <w:color w:val="auto"/>
          <w:sz w:val="24"/>
          <w:szCs w:val="24"/>
          <w:highlight w:val="none"/>
          <w:u w:val="single"/>
          <w:lang w:val="en-US" w:eastAsia="zh-CN"/>
        </w:rPr>
        <w:t>陆</w:t>
      </w:r>
      <w:r>
        <w:rPr>
          <w:rFonts w:hint="eastAsia" w:cs="宋体" w:asciiTheme="minorEastAsia" w:hAnsiTheme="minorEastAsia" w:eastAsiaTheme="minorEastAsia"/>
          <w:color w:val="auto"/>
          <w:sz w:val="24"/>
          <w:szCs w:val="24"/>
          <w:highlight w:val="none"/>
        </w:rPr>
        <w:t>份，均具有同等法律效力，</w:t>
      </w:r>
      <w:r>
        <w:rPr>
          <w:rFonts w:hint="eastAsia" w:cs="宋体" w:asciiTheme="minorEastAsia" w:hAnsiTheme="minorEastAsia" w:eastAsiaTheme="minorEastAsia"/>
          <w:color w:val="auto"/>
          <w:sz w:val="24"/>
          <w:szCs w:val="24"/>
          <w:highlight w:val="none"/>
          <w:lang w:val="en-US" w:eastAsia="zh-CN"/>
        </w:rPr>
        <w:t>甲方</w:t>
      </w:r>
      <w:r>
        <w:rPr>
          <w:rFonts w:hint="eastAsia" w:cs="宋体" w:asciiTheme="minorEastAsia" w:hAnsiTheme="minorEastAsia" w:eastAsiaTheme="minorEastAsia"/>
          <w:color w:val="auto"/>
          <w:sz w:val="24"/>
          <w:szCs w:val="24"/>
          <w:highlight w:val="none"/>
        </w:rPr>
        <w:t>执</w:t>
      </w:r>
      <w:r>
        <w:rPr>
          <w:rFonts w:hint="eastAsia" w:cs="宋体" w:asciiTheme="minorEastAsia" w:hAnsiTheme="minorEastAsia" w:eastAsiaTheme="minorEastAsia"/>
          <w:color w:val="auto"/>
          <w:sz w:val="24"/>
          <w:szCs w:val="24"/>
          <w:highlight w:val="none"/>
          <w:u w:val="single"/>
          <w:lang w:val="en-US" w:eastAsia="zh-CN"/>
        </w:rPr>
        <w:t>肆</w:t>
      </w:r>
      <w:r>
        <w:rPr>
          <w:rFonts w:hint="eastAsia" w:cs="宋体" w:asciiTheme="minorEastAsia" w:hAnsiTheme="minorEastAsia" w:eastAsiaTheme="minorEastAsia"/>
          <w:color w:val="auto"/>
          <w:sz w:val="24"/>
          <w:szCs w:val="24"/>
          <w:highlight w:val="none"/>
        </w:rPr>
        <w:t>份，</w:t>
      </w:r>
      <w:r>
        <w:rPr>
          <w:rFonts w:hint="eastAsia" w:cs="宋体" w:asciiTheme="minorEastAsia" w:hAnsiTheme="minorEastAsia" w:eastAsiaTheme="minorEastAsia"/>
          <w:color w:val="auto"/>
          <w:sz w:val="24"/>
          <w:szCs w:val="24"/>
          <w:highlight w:val="none"/>
          <w:lang w:val="en-US" w:eastAsia="zh-CN"/>
        </w:rPr>
        <w:t>乙方</w:t>
      </w:r>
      <w:r>
        <w:rPr>
          <w:rFonts w:hint="eastAsia" w:cs="宋体" w:asciiTheme="minorEastAsia" w:hAnsiTheme="minorEastAsia" w:eastAsiaTheme="minorEastAsia"/>
          <w:color w:val="auto"/>
          <w:sz w:val="24"/>
          <w:szCs w:val="24"/>
          <w:highlight w:val="none"/>
        </w:rPr>
        <w:t>执</w:t>
      </w:r>
      <w:r>
        <w:rPr>
          <w:rFonts w:hint="eastAsia" w:cs="宋体" w:asciiTheme="minorEastAsia" w:hAnsiTheme="minorEastAsia" w:eastAsiaTheme="minorEastAsia"/>
          <w:color w:val="auto"/>
          <w:sz w:val="24"/>
          <w:szCs w:val="24"/>
          <w:highlight w:val="none"/>
          <w:u w:val="single"/>
          <w:lang w:val="en-US" w:eastAsia="zh-CN"/>
        </w:rPr>
        <w:t>贰</w:t>
      </w:r>
      <w:r>
        <w:rPr>
          <w:rFonts w:hint="eastAsia" w:cs="宋体" w:asciiTheme="minorEastAsia" w:hAnsiTheme="minorEastAsia" w:eastAsiaTheme="minorEastAsia"/>
          <w:color w:val="auto"/>
          <w:sz w:val="24"/>
          <w:szCs w:val="24"/>
          <w:highlight w:val="none"/>
        </w:rPr>
        <w:t>份。</w:t>
      </w:r>
    </w:p>
    <w:p w14:paraId="1D0C2F87">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十、农民工工资保证金</w:t>
      </w:r>
    </w:p>
    <w:p w14:paraId="23646C0E">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甲方将在本项目全面推行农民工实名制、农民工工资保证金、农民工工资专用账户、农民工工资支付违法行为信用惩戒、农民工劳动合同规范文本(盐治欠办发〔2022〕14 号)等制度，乙方必须根据国家、省、市、县相关文件要求，认真执行上述制度，切实保障农民工劳动报酬权益。</w:t>
      </w:r>
      <w:r>
        <w:rPr>
          <w:rFonts w:hint="eastAsia" w:cs="宋体" w:asciiTheme="minorEastAsia" w:hAnsiTheme="minorEastAsia" w:eastAsiaTheme="minorEastAsia"/>
          <w:color w:val="auto"/>
          <w:sz w:val="24"/>
          <w:szCs w:val="24"/>
          <w:highlight w:val="none"/>
        </w:rPr>
        <w:t>乙方必须保证农民工工资及时发放到位，不得截留和拖欠。若甲方发现一次乙方因农民工工资未及时发放而造成矛盾，甲方有权扣除乙方应得工程款而直接用于发放，并扣乙方拖欠发放额的30％作为违约金。</w:t>
      </w:r>
    </w:p>
    <w:p w14:paraId="4E4E4267">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十一、政府采购线上合同信用融资政策</w:t>
      </w:r>
    </w:p>
    <w:p w14:paraId="2B56C116">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根据《转发江苏省财政厅中国人民银行南京分行&lt;关于深入推进政府采购线上合同信用融资工作的通知&gt;的通知》（盐财购〔2021〕20号）规定，乙方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p>
    <w:p w14:paraId="5612FC19">
      <w:pPr>
        <w:pBdr>
          <w:top w:val="none" w:color="000000" w:sz="0" w:space="0"/>
          <w:left w:val="none" w:color="000000" w:sz="0" w:space="0"/>
          <w:bottom w:val="none" w:color="000000" w:sz="0" w:space="0"/>
          <w:right w:val="none" w:color="000000" w:sz="0" w:space="0"/>
        </w:pBdr>
        <w:spacing w:before="0" w:after="0" w:line="479" w:lineRule="atLeast"/>
        <w:ind w:left="0" w:right="0" w:firstLine="480"/>
        <w:jc w:val="both"/>
        <w:rPr>
          <w:color w:val="auto"/>
          <w:highlight w:val="none"/>
        </w:rPr>
      </w:pPr>
      <w:r>
        <w:rPr>
          <w:rFonts w:ascii="宋体" w:hAnsi="宋体" w:eastAsia="宋体" w:cs="宋体"/>
          <w:color w:val="auto"/>
          <w:sz w:val="24"/>
          <w:highlight w:val="none"/>
        </w:rPr>
        <w:t> </w:t>
      </w:r>
    </w:p>
    <w:p w14:paraId="0941281D">
      <w:pPr>
        <w:widowControl w:val="0"/>
        <w:spacing w:after="120"/>
        <w:jc w:val="both"/>
        <w:rPr>
          <w:rFonts w:ascii="Calibri" w:hAnsi="Calibri" w:cs="Calibri"/>
          <w:color w:val="auto"/>
          <w:sz w:val="21"/>
          <w:szCs w:val="21"/>
          <w:highlight w:val="none"/>
        </w:rPr>
      </w:pPr>
    </w:p>
    <w:p w14:paraId="2F19186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乙方：（盖章） </w:t>
      </w:r>
    </w:p>
    <w:p w14:paraId="1A2B5C0F">
      <w:pPr>
        <w:widowControl w:val="0"/>
        <w:spacing w:line="480" w:lineRule="exact"/>
        <w:ind w:firstLine="480"/>
        <w:jc w:val="both"/>
        <w:rPr>
          <w:rFonts w:ascii="宋体" w:hAnsi="宋体" w:cs="宋体"/>
          <w:color w:val="auto"/>
          <w:sz w:val="24"/>
          <w:szCs w:val="24"/>
          <w:highlight w:val="none"/>
        </w:rPr>
      </w:pPr>
    </w:p>
    <w:p w14:paraId="48E04E8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法定代表人或</w:t>
      </w:r>
    </w:p>
    <w:p w14:paraId="141D234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被授权代理人（签字）：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被授权代理人（签字）： </w:t>
      </w:r>
    </w:p>
    <w:p w14:paraId="5067691F">
      <w:pPr>
        <w:widowControl w:val="0"/>
        <w:spacing w:line="480" w:lineRule="exact"/>
        <w:ind w:firstLine="480"/>
        <w:jc w:val="both"/>
        <w:rPr>
          <w:rFonts w:ascii="宋体" w:hAnsi="宋体" w:cs="宋体"/>
          <w:color w:val="auto"/>
          <w:sz w:val="24"/>
          <w:szCs w:val="24"/>
          <w:highlight w:val="none"/>
        </w:rPr>
      </w:pPr>
    </w:p>
    <w:p w14:paraId="60E5DD2A">
      <w:pPr>
        <w:widowControl w:val="0"/>
        <w:spacing w:line="480" w:lineRule="exact"/>
        <w:ind w:firstLine="480" w:firstLineChars="200"/>
        <w:jc w:val="both"/>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年  月   日</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年  月   日</w:t>
      </w:r>
    </w:p>
    <w:p w14:paraId="7B67AFF0">
      <w:pPr>
        <w:widowControl w:val="0"/>
        <w:spacing w:line="440" w:lineRule="exact"/>
        <w:rPr>
          <w:rFonts w:ascii="宋体" w:hAnsi="宋体" w:cs="Calibri"/>
          <w:b/>
          <w:bCs/>
          <w:color w:val="auto"/>
          <w:sz w:val="36"/>
          <w:szCs w:val="36"/>
          <w:highlight w:val="none"/>
        </w:rPr>
      </w:pPr>
      <w:r>
        <w:rPr>
          <w:rFonts w:ascii="宋体" w:hAnsi="宋体" w:cs="Calibri"/>
          <w:b/>
          <w:bCs/>
          <w:color w:val="auto"/>
          <w:sz w:val="36"/>
          <w:szCs w:val="36"/>
          <w:highlight w:val="none"/>
        </w:rPr>
        <w:br w:type="page" w:clear="all"/>
      </w:r>
    </w:p>
    <w:p w14:paraId="7D0A0E51">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第二节  通用合同条款</w:t>
      </w:r>
    </w:p>
    <w:p w14:paraId="28E046B7">
      <w:pPr>
        <w:widowControl w:val="0"/>
        <w:spacing w:line="480" w:lineRule="exact"/>
        <w:ind w:firstLine="480"/>
        <w:jc w:val="both"/>
        <w:rPr>
          <w:rFonts w:ascii="宋体" w:hAnsi="宋体" w:cs="宋体"/>
          <w:color w:val="auto"/>
          <w:sz w:val="24"/>
          <w:szCs w:val="21"/>
          <w:highlight w:val="none"/>
        </w:rPr>
      </w:pPr>
      <w:r>
        <w:rPr>
          <w:rFonts w:hint="eastAsia" w:ascii="宋体" w:hAnsi="宋体" w:cs="宋体"/>
          <w:color w:val="auto"/>
          <w:sz w:val="24"/>
          <w:szCs w:val="21"/>
          <w:highlight w:val="none"/>
        </w:rPr>
        <w:t>采用中华人民共和国交通运输部《公路工程标准施工采购文件 (20</w:t>
      </w:r>
      <w:r>
        <w:rPr>
          <w:rFonts w:ascii="宋体" w:hAnsi="宋体" w:cs="宋体"/>
          <w:color w:val="auto"/>
          <w:sz w:val="24"/>
          <w:szCs w:val="21"/>
          <w:highlight w:val="none"/>
        </w:rPr>
        <w:t>18</w:t>
      </w:r>
      <w:r>
        <w:rPr>
          <w:rFonts w:hint="eastAsia" w:ascii="宋体" w:hAnsi="宋体" w:cs="宋体"/>
          <w:color w:val="auto"/>
          <w:sz w:val="24"/>
          <w:szCs w:val="21"/>
          <w:highlight w:val="none"/>
        </w:rPr>
        <w:t>年版)》的“通用合同条款”。</w:t>
      </w:r>
    </w:p>
    <w:p w14:paraId="11AA2F51">
      <w:pPr>
        <w:widowControl w:val="0"/>
        <w:jc w:val="center"/>
        <w:rPr>
          <w:rFonts w:ascii="宋体" w:hAnsi="宋体" w:cs="宋体"/>
          <w:color w:val="auto"/>
          <w:sz w:val="21"/>
          <w:szCs w:val="21"/>
          <w:highlight w:val="none"/>
        </w:rPr>
      </w:pPr>
    </w:p>
    <w:p w14:paraId="14CF413D">
      <w:pPr>
        <w:widowControl w:val="0"/>
        <w:rPr>
          <w:rFonts w:ascii="宋体" w:hAnsi="宋体" w:cs="Calibri"/>
          <w:b/>
          <w:bCs/>
          <w:color w:val="auto"/>
          <w:sz w:val="36"/>
          <w:szCs w:val="36"/>
          <w:highlight w:val="none"/>
        </w:rPr>
      </w:pPr>
      <w:r>
        <w:rPr>
          <w:rFonts w:ascii="宋体" w:hAnsi="宋体" w:cs="Calibri"/>
          <w:b/>
          <w:bCs/>
          <w:color w:val="auto"/>
          <w:sz w:val="36"/>
          <w:szCs w:val="36"/>
          <w:highlight w:val="none"/>
        </w:rPr>
        <w:br w:type="page" w:clear="all"/>
      </w:r>
    </w:p>
    <w:p w14:paraId="4B6900EC">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第三节  公路工程专用合同条款</w:t>
      </w:r>
    </w:p>
    <w:p w14:paraId="707D01B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采用中华人民共和国交通运输部《公路工程标准施工采购文件 (20</w:t>
      </w:r>
      <w:r>
        <w:rPr>
          <w:rFonts w:ascii="宋体" w:hAnsi="宋体" w:cs="宋体"/>
          <w:color w:val="auto"/>
          <w:sz w:val="24"/>
          <w:szCs w:val="24"/>
          <w:highlight w:val="none"/>
        </w:rPr>
        <w:t>18</w:t>
      </w:r>
      <w:r>
        <w:rPr>
          <w:rFonts w:hint="eastAsia" w:ascii="宋体" w:hAnsi="宋体" w:cs="宋体"/>
          <w:color w:val="auto"/>
          <w:sz w:val="24"/>
          <w:szCs w:val="24"/>
          <w:highlight w:val="none"/>
        </w:rPr>
        <w:t>年版)》的“公路工程专用合同条款”。</w:t>
      </w:r>
    </w:p>
    <w:p w14:paraId="4257B434">
      <w:pPr>
        <w:widowControl w:val="0"/>
        <w:spacing w:after="100" w:afterAutospacing="1" w:line="48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项目专用合同数据表</w:t>
      </w:r>
    </w:p>
    <w:tbl>
      <w:tblPr>
        <w:tblStyle w:val="19"/>
        <w:tblW w:w="9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180"/>
        <w:gridCol w:w="7513"/>
      </w:tblGrid>
      <w:tr w14:paraId="53D3B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3F467B8">
            <w:pPr>
              <w:widowControl w:val="0"/>
              <w:spacing w:line="3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1F2E2049">
            <w:pPr>
              <w:widowControl w:val="0"/>
              <w:spacing w:line="3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条目号</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2A752711">
            <w:pPr>
              <w:widowControl w:val="0"/>
              <w:spacing w:line="3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信息或数据</w:t>
            </w:r>
          </w:p>
        </w:tc>
      </w:tr>
      <w:tr w14:paraId="66FA7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F8FB03E">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10ABA267">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1.1.2.2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71485750">
            <w:pPr>
              <w:widowControl w:val="0"/>
              <w:spacing w:line="300" w:lineRule="exact"/>
              <w:ind w:right="36"/>
              <w:jc w:val="both"/>
              <w:rPr>
                <w:rFonts w:hint="eastAsia" w:ascii="宋体" w:hAnsi="宋体" w:eastAsia="宋体" w:cs="Calibri"/>
                <w:color w:val="auto"/>
                <w:sz w:val="24"/>
                <w:szCs w:val="24"/>
                <w:highlight w:val="none"/>
                <w:lang w:eastAsia="zh-CN"/>
              </w:rPr>
            </w:pPr>
            <w:r>
              <w:rPr>
                <w:rFonts w:hint="eastAsia" w:ascii="宋体" w:hAnsi="宋体" w:cs="Calibri"/>
                <w:color w:val="auto"/>
                <w:sz w:val="24"/>
                <w:szCs w:val="24"/>
                <w:highlight w:val="none"/>
              </w:rPr>
              <w:t>发包人：</w:t>
            </w:r>
            <w:r>
              <w:rPr>
                <w:rFonts w:hint="eastAsia" w:ascii="宋体" w:hAnsi="宋体" w:cs="Calibri"/>
                <w:color w:val="auto"/>
                <w:sz w:val="24"/>
                <w:szCs w:val="24"/>
                <w:highlight w:val="none"/>
                <w:lang w:eastAsia="zh-CN"/>
              </w:rPr>
              <w:t xml:space="preserve">盐城市亭湖区盐东镇人民政府  </w:t>
            </w:r>
          </w:p>
          <w:p w14:paraId="380DC88B">
            <w:pPr>
              <w:widowControl w:val="0"/>
              <w:spacing w:line="300" w:lineRule="exact"/>
              <w:jc w:val="both"/>
              <w:rPr>
                <w:rFonts w:hint="eastAsia" w:ascii="宋体" w:hAnsi="宋体" w:eastAsia="宋体" w:cs="宋体"/>
                <w:color w:val="auto"/>
                <w:sz w:val="24"/>
                <w:szCs w:val="24"/>
                <w:highlight w:val="none"/>
                <w:lang w:val="en-US" w:eastAsia="zh-CN"/>
              </w:rPr>
            </w:pPr>
            <w:r>
              <w:rPr>
                <w:rFonts w:hint="eastAsia" w:ascii="宋体" w:hAnsi="宋体" w:cs="Calibri"/>
                <w:color w:val="auto"/>
                <w:sz w:val="24"/>
                <w:szCs w:val="24"/>
                <w:highlight w:val="none"/>
              </w:rPr>
              <w:t>地址：</w:t>
            </w:r>
            <w:r>
              <w:rPr>
                <w:rFonts w:hint="eastAsia" w:ascii="宋体" w:hAnsi="宋体" w:cs="Calibri"/>
                <w:color w:val="auto"/>
                <w:sz w:val="24"/>
                <w:szCs w:val="24"/>
                <w:highlight w:val="none"/>
                <w:lang w:eastAsia="zh-CN"/>
              </w:rPr>
              <w:t>江苏省盐城市亭湖区盐东镇盐新路246号</w:t>
            </w:r>
            <w:r>
              <w:rPr>
                <w:rFonts w:hint="eastAsia" w:ascii="宋体" w:hAnsi="宋体" w:cs="Calibri"/>
                <w:color w:val="auto"/>
                <w:sz w:val="24"/>
                <w:szCs w:val="24"/>
                <w:highlight w:val="none"/>
              </w:rPr>
              <w:t xml:space="preserve">    邮编：22400</w:t>
            </w:r>
            <w:r>
              <w:rPr>
                <w:rFonts w:hint="eastAsia" w:ascii="宋体" w:hAnsi="宋体" w:cs="Calibri"/>
                <w:color w:val="auto"/>
                <w:sz w:val="24"/>
                <w:szCs w:val="24"/>
                <w:highlight w:val="none"/>
                <w:lang w:val="en-US" w:eastAsia="zh-CN"/>
              </w:rPr>
              <w:t>0</w:t>
            </w:r>
          </w:p>
        </w:tc>
      </w:tr>
      <w:tr w14:paraId="07E35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2BADE9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5394B65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1.1.2.6</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5E4B933C">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监理人：</w:t>
            </w:r>
          </w:p>
          <w:p w14:paraId="37EDACBA">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地址：                    邮编：</w:t>
            </w:r>
          </w:p>
        </w:tc>
      </w:tr>
      <w:tr w14:paraId="004E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3B2DFB9">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A2ADB98">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1.1.4.5</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44D800FC">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缺陷责任期：自实际交工之日起计算2年</w:t>
            </w:r>
          </w:p>
        </w:tc>
      </w:tr>
      <w:tr w14:paraId="38AB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F8B07E3">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7E9A597B">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1.6.3</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60501A88">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图纸需要修改和补充的，应由监理人取得发包人同意后，在该工程或工程相应部位施工前</w:t>
            </w:r>
            <w:r>
              <w:rPr>
                <w:rFonts w:hint="eastAsia" w:ascii="宋体" w:hAnsi="宋体" w:cs="宋体"/>
                <w:color w:val="auto"/>
                <w:sz w:val="24"/>
                <w:szCs w:val="24"/>
                <w:highlight w:val="none"/>
                <w:u w:val="single"/>
              </w:rPr>
              <w:t xml:space="preserve">  14  </w:t>
            </w:r>
            <w:r>
              <w:rPr>
                <w:rFonts w:hint="eastAsia" w:ascii="宋体" w:hAnsi="宋体" w:cs="宋体"/>
                <w:color w:val="auto"/>
                <w:sz w:val="24"/>
                <w:szCs w:val="24"/>
                <w:highlight w:val="none"/>
              </w:rPr>
              <w:t>天签发图纸修改图给承包人。</w:t>
            </w:r>
          </w:p>
        </w:tc>
      </w:tr>
      <w:tr w14:paraId="5CCD6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2428DEF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03E8B65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5.2.1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3BC09260">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发包人是否提供材料或工程设备：</w:t>
            </w:r>
            <w:r>
              <w:rPr>
                <w:rFonts w:hint="eastAsia" w:ascii="宋体" w:hAnsi="宋体" w:cs="宋体"/>
                <w:color w:val="auto"/>
                <w:sz w:val="24"/>
                <w:szCs w:val="24"/>
                <w:highlight w:val="none"/>
                <w:u w:val="single"/>
              </w:rPr>
              <w:t xml:space="preserve"> 否 </w:t>
            </w:r>
          </w:p>
        </w:tc>
      </w:tr>
      <w:tr w14:paraId="492BB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83652B1">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3E8B47B4">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34B76AB9">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发包人是否提供施工设施和临时设施：</w:t>
            </w:r>
            <w:r>
              <w:rPr>
                <w:rFonts w:hint="eastAsia" w:ascii="宋体" w:hAnsi="宋体" w:cs="宋体"/>
                <w:color w:val="auto"/>
                <w:sz w:val="24"/>
                <w:szCs w:val="24"/>
                <w:highlight w:val="none"/>
                <w:u w:val="single"/>
              </w:rPr>
              <w:t xml:space="preserve"> 否 </w:t>
            </w:r>
          </w:p>
        </w:tc>
      </w:tr>
      <w:tr w14:paraId="6BA4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4ECF15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6F81256F">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8.1.1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55655092">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发包人提供测量基准点、基准线和水准点及基书面资料的期限：</w:t>
            </w:r>
            <w:r>
              <w:rPr>
                <w:rFonts w:hint="eastAsia" w:ascii="宋体" w:hAnsi="宋体" w:cs="宋体"/>
                <w:color w:val="auto"/>
                <w:sz w:val="24"/>
                <w:szCs w:val="24"/>
                <w:highlight w:val="none"/>
                <w:u w:val="single"/>
              </w:rPr>
              <w:t xml:space="preserve">3天 </w:t>
            </w:r>
          </w:p>
          <w:p w14:paraId="24114178">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承包人将施工控制网资料报送监理人审批的期限：</w:t>
            </w:r>
            <w:r>
              <w:rPr>
                <w:rFonts w:hint="eastAsia" w:ascii="宋体" w:hAnsi="宋体" w:cs="宋体"/>
                <w:color w:val="auto"/>
                <w:sz w:val="24"/>
                <w:szCs w:val="24"/>
                <w:highlight w:val="none"/>
                <w:u w:val="single"/>
              </w:rPr>
              <w:t xml:space="preserve"> 3天 </w:t>
            </w:r>
          </w:p>
        </w:tc>
      </w:tr>
      <w:tr w14:paraId="344C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5BA21054">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6B42F6F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11.5</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2743239F">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逾期交竣工违约金：</w:t>
            </w:r>
            <w:r>
              <w:rPr>
                <w:rFonts w:hint="eastAsia" w:ascii="宋体" w:hAnsi="宋体" w:cs="宋体"/>
                <w:color w:val="auto"/>
                <w:sz w:val="24"/>
                <w:szCs w:val="24"/>
                <w:highlight w:val="none"/>
                <w:u w:val="single"/>
              </w:rPr>
              <w:t xml:space="preserve"> 2000 </w:t>
            </w:r>
            <w:r>
              <w:rPr>
                <w:rFonts w:hint="eastAsia" w:ascii="宋体" w:hAnsi="宋体" w:cs="宋体"/>
                <w:color w:val="auto"/>
                <w:sz w:val="24"/>
                <w:szCs w:val="24"/>
                <w:highlight w:val="none"/>
              </w:rPr>
              <w:t>元/天</w:t>
            </w:r>
          </w:p>
        </w:tc>
      </w:tr>
      <w:tr w14:paraId="671C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337DCE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734F9491">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11.5</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6836FD6F">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逾期交竣工违约金限额：签约合同价的</w:t>
            </w:r>
            <w:r>
              <w:rPr>
                <w:rFonts w:hint="eastAsia" w:ascii="宋体" w:hAnsi="宋体" w:cs="宋体"/>
                <w:color w:val="auto"/>
                <w:sz w:val="24"/>
                <w:szCs w:val="24"/>
                <w:highlight w:val="none"/>
                <w:u w:val="single"/>
              </w:rPr>
              <w:t xml:space="preserve"> 10% </w:t>
            </w:r>
          </w:p>
        </w:tc>
      </w:tr>
      <w:tr w14:paraId="4C3B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EC8446B">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1C5EE840">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17.3.2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07E234FE">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承包人在每个付款周期末向监理人提交进度付款申请单的份数：</w:t>
            </w:r>
            <w:r>
              <w:rPr>
                <w:rFonts w:hint="eastAsia" w:ascii="宋体" w:hAnsi="宋体" w:cs="宋体"/>
                <w:color w:val="auto"/>
                <w:sz w:val="24"/>
                <w:szCs w:val="24"/>
                <w:highlight w:val="none"/>
                <w:u w:val="single"/>
              </w:rPr>
              <w:t>3</w:t>
            </w:r>
            <w:r>
              <w:rPr>
                <w:rFonts w:hint="eastAsia" w:ascii="宋体" w:hAnsi="宋体" w:cs="宋体"/>
                <w:color w:val="auto"/>
                <w:sz w:val="24"/>
                <w:szCs w:val="24"/>
                <w:highlight w:val="none"/>
              </w:rPr>
              <w:t>份</w:t>
            </w:r>
          </w:p>
        </w:tc>
      </w:tr>
      <w:tr w14:paraId="067DF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DA66450">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3EE769A9">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17.4.1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67DC16BE">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质量保证金限额：签约合同价的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tc>
      </w:tr>
      <w:tr w14:paraId="7A59A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F76B900">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D5C8DE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17.5.1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3C3C6055">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承包人向监理人提交交竣工付款申请单（包括相关证明材料）的份数：</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份</w:t>
            </w:r>
          </w:p>
        </w:tc>
      </w:tr>
      <w:tr w14:paraId="539C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6C217C6A">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449B502D">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17.6.1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6BB29F49">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承包人向监理人提交最终结清申请单（包括相关证明材料）的份数：</w:t>
            </w:r>
            <w:r>
              <w:rPr>
                <w:rFonts w:hint="eastAsia" w:ascii="宋体" w:hAnsi="宋体" w:cs="宋体"/>
                <w:color w:val="auto"/>
                <w:sz w:val="24"/>
                <w:szCs w:val="24"/>
                <w:highlight w:val="none"/>
                <w:u w:val="single"/>
              </w:rPr>
              <w:t xml:space="preserve"> 3 </w:t>
            </w:r>
            <w:r>
              <w:rPr>
                <w:rFonts w:hint="eastAsia" w:ascii="宋体" w:hAnsi="宋体" w:cs="宋体"/>
                <w:color w:val="auto"/>
                <w:sz w:val="24"/>
                <w:szCs w:val="24"/>
                <w:highlight w:val="none"/>
              </w:rPr>
              <w:t>份</w:t>
            </w:r>
          </w:p>
        </w:tc>
      </w:tr>
      <w:tr w14:paraId="25C0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73FEF14B">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2A9DB3BB">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18.2</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583E23F0">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竣工资料的份数：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w:t>
            </w:r>
          </w:p>
        </w:tc>
      </w:tr>
      <w:tr w14:paraId="217B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DD56E5C">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16</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6C33709E">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18.5.1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3F5DE13D">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单位工程或工程设备是否需投入施工期运行：</w:t>
            </w:r>
            <w:r>
              <w:rPr>
                <w:rFonts w:hint="eastAsia" w:ascii="宋体" w:hAnsi="宋体" w:cs="宋体"/>
                <w:color w:val="auto"/>
                <w:sz w:val="24"/>
                <w:szCs w:val="24"/>
                <w:highlight w:val="none"/>
                <w:u w:val="single"/>
              </w:rPr>
              <w:t xml:space="preserve"> 否 </w:t>
            </w:r>
          </w:p>
        </w:tc>
      </w:tr>
      <w:tr w14:paraId="1519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106D4057">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17</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277F2EC9">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18.6.1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099E2A43">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本工程及工程设备是否进行试运行：</w:t>
            </w:r>
            <w:r>
              <w:rPr>
                <w:rFonts w:hint="eastAsia" w:ascii="宋体" w:hAnsi="宋体" w:cs="宋体"/>
                <w:color w:val="auto"/>
                <w:sz w:val="24"/>
                <w:szCs w:val="24"/>
                <w:highlight w:val="none"/>
                <w:u w:val="single"/>
              </w:rPr>
              <w:t xml:space="preserve"> 否 </w:t>
            </w:r>
          </w:p>
        </w:tc>
      </w:tr>
      <w:tr w14:paraId="3D87F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3C7E0142">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18</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062B3A41">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19.7</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10587590">
            <w:pPr>
              <w:widowControl w:val="0"/>
              <w:spacing w:line="300" w:lineRule="exact"/>
              <w:jc w:val="both"/>
              <w:rPr>
                <w:rFonts w:ascii="宋体" w:hAnsi="宋体" w:cs="宋体"/>
                <w:color w:val="auto"/>
                <w:sz w:val="24"/>
                <w:szCs w:val="24"/>
                <w:highlight w:val="none"/>
              </w:rPr>
            </w:pPr>
            <w:r>
              <w:rPr>
                <w:rFonts w:hint="eastAsia" w:ascii="宋体" w:hAnsi="宋体" w:cs="宋体"/>
                <w:color w:val="auto"/>
                <w:sz w:val="24"/>
                <w:szCs w:val="24"/>
                <w:highlight w:val="none"/>
              </w:rPr>
              <w:t>保修期：自实际交工之日起计算2年</w:t>
            </w:r>
          </w:p>
        </w:tc>
      </w:tr>
      <w:tr w14:paraId="3C7C7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812" w:type="dxa"/>
            <w:tcBorders>
              <w:top w:val="single" w:color="auto" w:sz="4" w:space="0"/>
              <w:left w:val="single" w:color="auto" w:sz="4" w:space="0"/>
              <w:bottom w:val="single" w:color="auto" w:sz="4" w:space="0"/>
              <w:right w:val="single" w:color="auto" w:sz="4" w:space="0"/>
            </w:tcBorders>
            <w:noWrap w:val="0"/>
            <w:vAlign w:val="center"/>
          </w:tcPr>
          <w:p w14:paraId="0E3C5785">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19</w:t>
            </w:r>
          </w:p>
        </w:tc>
        <w:tc>
          <w:tcPr>
            <w:tcW w:w="1180" w:type="dxa"/>
            <w:tcBorders>
              <w:top w:val="single" w:color="auto" w:sz="4" w:space="0"/>
              <w:left w:val="single" w:color="auto" w:sz="4" w:space="0"/>
              <w:bottom w:val="single" w:color="auto" w:sz="4" w:space="0"/>
              <w:right w:val="single" w:color="auto" w:sz="4" w:space="0"/>
            </w:tcBorders>
            <w:noWrap w:val="0"/>
            <w:vAlign w:val="center"/>
          </w:tcPr>
          <w:p w14:paraId="24951290">
            <w:pPr>
              <w:widowControl w:val="0"/>
              <w:spacing w:line="3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24.1</w:t>
            </w:r>
          </w:p>
        </w:tc>
        <w:tc>
          <w:tcPr>
            <w:tcW w:w="7513" w:type="dxa"/>
            <w:tcBorders>
              <w:top w:val="single" w:color="auto" w:sz="4" w:space="0"/>
              <w:left w:val="single" w:color="auto" w:sz="4" w:space="0"/>
              <w:bottom w:val="single" w:color="auto" w:sz="4" w:space="0"/>
              <w:right w:val="single" w:color="auto" w:sz="4" w:space="0"/>
            </w:tcBorders>
            <w:noWrap w:val="0"/>
            <w:vAlign w:val="center"/>
          </w:tcPr>
          <w:p w14:paraId="29DB773B">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争议的最终解决方式：</w:t>
            </w:r>
            <w:r>
              <w:rPr>
                <w:rFonts w:hint="eastAsia" w:ascii="宋体" w:hAnsi="宋体" w:cs="宋体"/>
                <w:color w:val="auto"/>
                <w:sz w:val="24"/>
                <w:szCs w:val="24"/>
                <w:highlight w:val="none"/>
                <w:u w:val="single"/>
              </w:rPr>
              <w:t>仲裁或诉讼</w:t>
            </w:r>
          </w:p>
          <w:p w14:paraId="3394EA83">
            <w:pPr>
              <w:widowControl w:val="0"/>
              <w:spacing w:line="300" w:lineRule="exact"/>
              <w:jc w:val="both"/>
              <w:rPr>
                <w:rFonts w:ascii="宋体" w:hAnsi="宋体" w:cs="宋体"/>
                <w:color w:val="auto"/>
                <w:sz w:val="24"/>
                <w:szCs w:val="24"/>
                <w:highlight w:val="none"/>
                <w:u w:val="single"/>
              </w:rPr>
            </w:pPr>
            <w:r>
              <w:rPr>
                <w:rFonts w:hint="eastAsia" w:ascii="宋体" w:hAnsi="宋体" w:cs="宋体"/>
                <w:color w:val="auto"/>
                <w:sz w:val="24"/>
                <w:szCs w:val="24"/>
                <w:highlight w:val="none"/>
              </w:rPr>
              <w:t>如采用仲裁，仲裁委员会名称：盐城市仲裁委员会。</w:t>
            </w:r>
          </w:p>
        </w:tc>
      </w:tr>
    </w:tbl>
    <w:p w14:paraId="5745A6B4">
      <w:pPr>
        <w:widowControl w:val="0"/>
        <w:spacing w:after="100" w:afterAutospacing="1"/>
        <w:jc w:val="center"/>
        <w:rPr>
          <w:rFonts w:ascii="宋体" w:hAnsi="宋体" w:cs="Calibri"/>
          <w:b/>
          <w:bCs/>
          <w:color w:val="auto"/>
          <w:sz w:val="30"/>
          <w:szCs w:val="30"/>
          <w:highlight w:val="none"/>
        </w:rPr>
      </w:pPr>
      <w:bookmarkStart w:id="148" w:name="_Toc155855602"/>
      <w:bookmarkStart w:id="149" w:name="_Toc209948442"/>
      <w:bookmarkStart w:id="150" w:name="_Toc234675088"/>
      <w:bookmarkStart w:id="151" w:name="_Toc234744456"/>
      <w:bookmarkStart w:id="152" w:name="_Toc155592579"/>
      <w:bookmarkStart w:id="153" w:name="_Toc170618594"/>
      <w:bookmarkStart w:id="154" w:name="_Toc238559205"/>
      <w:bookmarkStart w:id="155" w:name="_Toc162056628"/>
      <w:r>
        <w:rPr>
          <w:rFonts w:ascii="宋体" w:hAnsi="宋体" w:cs="宋体"/>
          <w:b/>
          <w:color w:val="auto"/>
          <w:sz w:val="32"/>
          <w:szCs w:val="21"/>
          <w:highlight w:val="none"/>
        </w:rPr>
        <w:br w:type="page" w:clear="all"/>
      </w:r>
      <w:r>
        <w:rPr>
          <w:rFonts w:hint="eastAsia" w:ascii="宋体" w:hAnsi="宋体" w:cs="Calibri"/>
          <w:b/>
          <w:bCs/>
          <w:color w:val="auto"/>
          <w:sz w:val="30"/>
          <w:szCs w:val="30"/>
          <w:highlight w:val="none"/>
        </w:rPr>
        <w:t>项目专用合同条款</w:t>
      </w:r>
      <w:bookmarkEnd w:id="148"/>
      <w:bookmarkEnd w:id="149"/>
      <w:bookmarkEnd w:id="150"/>
      <w:bookmarkEnd w:id="151"/>
      <w:bookmarkEnd w:id="152"/>
      <w:bookmarkEnd w:id="153"/>
      <w:bookmarkEnd w:id="154"/>
      <w:bookmarkEnd w:id="155"/>
    </w:p>
    <w:p w14:paraId="4436E68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p>
    <w:p w14:paraId="3D4416EB">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1.一般约定</w:t>
      </w:r>
    </w:p>
    <w:p w14:paraId="0C1AA88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1.1.3工程和设备</w:t>
      </w:r>
    </w:p>
    <w:p w14:paraId="417D047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 xml:space="preserve">第1.1.3.10目细化为： </w:t>
      </w:r>
    </w:p>
    <w:p w14:paraId="50E7564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永久占地:指为实施本合同工程所需的一切永久占用的土地，包括公路两侧路权范围内的用地。除甲方同意外，乙方不可将施工现场用于本工程施工以外的目的，不得将永久占地范围内的用地作为预制场地。</w:t>
      </w:r>
    </w:p>
    <w:p w14:paraId="098E8BE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第1.1.3.11目细化为：</w:t>
      </w:r>
    </w:p>
    <w:p w14:paraId="52B664F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临时占地：指为实施本合同工程而需要的一切临时占用的土地，包括施工所用的临时支线、便道、便桥、借土场地和现场的临时出入通道，以及生产（办公）、生活等临时设施用地。乙方应根据施工组织计划确定本工程施工所必需的临时用地数量，并承担相应费用。</w:t>
      </w:r>
    </w:p>
    <w:p w14:paraId="6B52FEF7">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 乙方的一般义务</w:t>
      </w:r>
    </w:p>
    <w:p w14:paraId="34A7831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4.1.2 依法纳税</w:t>
      </w:r>
    </w:p>
    <w:p w14:paraId="6CD9B9C8">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本项补充：</w:t>
      </w:r>
    </w:p>
    <w:p w14:paraId="11C7E7F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中国政府(江苏省)根据现行税法和有关部门现行规定就本合同项下向承包方征收的所有税金及其他应交纳的所有费用均由承包人摊入各工程子目的单价中。</w:t>
      </w:r>
    </w:p>
    <w:p w14:paraId="267A2E8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4.1.8  为他人提供方便</w:t>
      </w:r>
    </w:p>
    <w:p w14:paraId="3051E05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本款细化为：</w:t>
      </w:r>
    </w:p>
    <w:p w14:paraId="77CEBF7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（1）乙方应无偿提供由其建设和维护的临时道路等给甲方、监理人员或甲方许可的其他乙方使用，为其他承包方提供现场通道、施工场地和空间，并提供稳定的电源、水源接口等必要的施工条件和服务。</w:t>
      </w:r>
    </w:p>
    <w:p w14:paraId="33B450F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几个承包方在同一区域施工时，监理人有权协调工程的实施并对工程的衔接提出指示，乙方应在监理人的统一协调下工作。乙方由此增加的费用应认为已含入工程量清单各细目的单价或总额价中，发包人不单独计列。</w:t>
      </w:r>
    </w:p>
    <w:p w14:paraId="7C3B243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4.1.10 其他义务</w:t>
      </w:r>
    </w:p>
    <w:p w14:paraId="3B265C3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4.1.10（1）款约定为：</w:t>
      </w:r>
    </w:p>
    <w:p w14:paraId="6B99785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乙方应履行的其他义务：无条件配合甲方及上级有关部门的视察、检查等各项活动。</w:t>
      </w:r>
    </w:p>
    <w:p w14:paraId="16A600A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乙方应仔细研究工程的施工方案和技术要求，了解施工地点的水文、地质、气象情况，制定周密的安全、质量保证、信息管理措施及施工计划(包括人员、设备、材料、后勤保障及紧急处理措施等)，并报监理人批准后严格执行，乙方应向相关部门办理涉路施工相关手续以保证合同工程的顺利施工。为执行本款要求而发生的费用均应认为已含入合同总价之中，甲方将不另行支付。凡因乙方采取措施不力而造成本合同工程的一切损失、工期拖延及施工费用的增加等均由乙方自行负责。</w:t>
      </w:r>
    </w:p>
    <w:p w14:paraId="5FBA77D8">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b、乙方应按照图纸、竞争性磋商文件和技术规范的要求，编制施工组织设计，明确确保工程质量的施工技术方案和施工工艺要求，特别是关键工程、重点部位、关键工序的施工技术方案和施工工艺。</w:t>
      </w:r>
    </w:p>
    <w:p w14:paraId="21AC49E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考虑到项目建设的实际情况，甲方可能提出一些高于竞争性磋商文件要求的技术指标，乙方必须按新的技术指标执行。在工程质量要求未发生改变的情况下，即使甲方或监理人对施工工艺指标提出了特别要求，乙方也不得就此要求甲方给予额外费用补贴，由此发生的一切费用视为已计入本合同总价中。</w:t>
      </w:r>
    </w:p>
    <w:p w14:paraId="4B5CA30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考虑到减少项目施工对地方的干扰和影响，乙方应严格执行甲方或监理人提出的阶段性工期要求。</w:t>
      </w:r>
    </w:p>
    <w:p w14:paraId="3D19E10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c、乙方应接受质监机构对其工程施工质量的监督与检查，凡工程质量不合格的工程不验收、不支付，并应自费拆除重建。</w:t>
      </w:r>
    </w:p>
    <w:p w14:paraId="3D61EE5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d、乙方必须建立针对本合同工程的施工质量保证体系，做到“横向到边，纵向到底、控制有效”，加强施工过程中的自检、互检和交接检工作。</w:t>
      </w:r>
    </w:p>
    <w:p w14:paraId="746235C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e、根据合同的各项规定，乙方应精心组织施工，按时完成本合同工程及其缺陷的修复。为此，乙方应提供所需的全部监督管理、劳务、材料、设备、施工装备和其他物品。</w:t>
      </w:r>
    </w:p>
    <w:p w14:paraId="3EA8C09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f、乙方应对本合同段的雇用劳务、运输、供料等委托单位的经济往来全权负责。在工程结束后撤出现场前均应结算清楚。否则，乙方与委托单位之间发生的经济纠纷，应由乙方承担一切经济和法律责任。</w:t>
      </w:r>
    </w:p>
    <w:p w14:paraId="404FB10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g、乙方应按甲方的要求配合甲方对本建设项目可能进行的科研和试验课题研究，并为其提供必要的试验场地、设备及人员等。乙方因此发生的一切费用均含在本合同总价中。</w:t>
      </w:r>
    </w:p>
    <w:p w14:paraId="66AC76A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h、乙方应在监理人的指示下，为本项目其他工程提供必要的便利条件。乙方因此发生的一切费用均应含入所报的单价或总额价内，甲方不再单独计列。</w:t>
      </w:r>
    </w:p>
    <w:p w14:paraId="573EA66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i、凡是标段内与已建铁路、公路、航道、管线等有交叉、干扰的地段，乙方应在不干扰铁路、公路、航道、管线正常运营的前提下合理安排施工组织计划，积极与有关部门联系，采取有效措施保证施工工期和安全，并在必要时疏导现有交通流；凡是标段内于其他在建工程有互扰的地段，乙方应做好与其他施工单位的协调工作；凡是标段内地形复杂，路基需深挖高填、场地狭窄的地段，乙方应按照施工要求制定完善的施工组织计划；凡是标段内含有跨河桥梁工程的，乙方应合理安排工期以尽可能避开汛期进行水中施工，确保汛期施工的安全和施工质量。凡是标段内含有跨铁路地段，乙方应作好与铁路部门的协调工作以及采取措施，承担由于铁路而影响施工的风险；乙方应对上述所有工作负责，甲方将根据乙方的要求给予适当协助。乙方应将其采取上述措施而可能发生的全部费用计入投标报价中，甲方将不另行支付。如因乙方采取的措施不力，造成河道堵塞或者影响铁路、公路正常安全运营而给其他部门或个人造成的一切损失，或由上述原因造成本工程工期的拖延或施工费用的增加，均由乙方自行负责。</w:t>
      </w:r>
    </w:p>
    <w:p w14:paraId="07704F9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j、对于标段中既有道路、铁路等交叉、干扰的地段，施工时应保证施工和交通的安全。乙方应在主要交叉点实行道路两侧围挡施工，在人员密度大、流动大的地段以及其它需要地段也必须采取围挡施工，以确保施工安全和人员安全。因此发生的一切费用不单独计量和支付，包含在投标报价内。</w:t>
      </w:r>
    </w:p>
    <w:p w14:paraId="5E8D63E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k、乙方为满足本项目施工需要而开展的科研和试验课题研究，应将其详细成果资料报甲方备案。</w:t>
      </w:r>
    </w:p>
    <w:p w14:paraId="42BE526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l、施工期间乙方必须严格执行国家、地方政府有关施工安全管理方面的法律、法规及规章制度，同时严格执行甲方制订的本项目安全生产管理方面的规章制度、安全检查程序及施工安全管理要求，以及监理人有关安全工作的指示。</w:t>
      </w:r>
    </w:p>
    <w:p w14:paraId="2EDC2B0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m、结合本项目的实际情况，乙方应考虑到施工过程中可能会发生的由于施工及各种原因造成的地方矛盾和阻工问题，乙方自行负责解决，并支付所发生的一切费用。甲方协助做好协调工作，甲方的协调不免除承包人自行解决矛盾的任何责任。</w:t>
      </w:r>
    </w:p>
    <w:p w14:paraId="192A9F3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n、无条件配合甲方及上级有关部门的视察、检查等各项活动。</w:t>
      </w:r>
    </w:p>
    <w:p w14:paraId="7C50DC2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本项补充：</w:t>
      </w:r>
    </w:p>
    <w:p w14:paraId="647A52A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临时供电设施的费用含入报价中，甲方不单独计列。</w:t>
      </w:r>
    </w:p>
    <w:p w14:paraId="040942EA">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4.2 履约担保</w:t>
      </w:r>
    </w:p>
    <w:p w14:paraId="56E6F22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本款补充：</w:t>
      </w:r>
    </w:p>
    <w:p w14:paraId="6B936788">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4.2.1 乙方交纳人民币</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rPr>
        <w:t>元作为本合同的履约保证金。</w:t>
      </w:r>
    </w:p>
    <w:p w14:paraId="239D5582">
      <w:pPr>
        <w:widowControl w:val="0"/>
        <w:spacing w:line="480" w:lineRule="exact"/>
        <w:ind w:firstLine="480"/>
        <w:jc w:val="both"/>
        <w:rPr>
          <w:rFonts w:ascii="宋体" w:hAnsi="宋体" w:cs="Calibri"/>
          <w:b/>
          <w:bCs/>
          <w:color w:val="auto"/>
          <w:sz w:val="24"/>
          <w:szCs w:val="24"/>
          <w:highlight w:val="none"/>
        </w:rPr>
      </w:pPr>
      <w:r>
        <w:rPr>
          <w:rFonts w:hint="eastAsia" w:ascii="宋体" w:hAnsi="宋体" w:cs="Calibri"/>
          <w:b/>
          <w:bCs/>
          <w:color w:val="auto"/>
          <w:sz w:val="24"/>
          <w:szCs w:val="24"/>
          <w:highlight w:val="none"/>
        </w:rPr>
        <w:t>备注：履约保证金为合同金额的10%，对AA评级及以上政府采购供应商（需提供信用管理部门备案的第三方信用报告，且信用报告通过“信用盐城网”可查实）降低履约保证金缴纳比例，履约保证金为合同金额的5%。</w:t>
      </w:r>
    </w:p>
    <w:p w14:paraId="34573AA0">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4.2.2确需收取履约保证金的，履约保证金的缴纳形式：</w:t>
      </w:r>
    </w:p>
    <w:p w14:paraId="21CD96B4">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FF85A52">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（2）如以履约保函（保险）形式缴纳履约保证金，供应商可通过政府采购电子履约保函（保险）平台（www.jsdzbh.com）在线申请履约保函（保险）。</w:t>
      </w:r>
    </w:p>
    <w:p w14:paraId="5B994EED">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4.2.3合同履行结束后，甲方应及时退还交纳的履约保证金。</w:t>
      </w:r>
    </w:p>
    <w:p w14:paraId="579AD3F8">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4.2.4履约保证金的退还：</w:t>
      </w:r>
    </w:p>
    <w:p w14:paraId="2E01BDC9">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（1）方式：无息退还至投标人缴纳履约保证金的账户。如为保函，在到期时自行失效。</w:t>
      </w:r>
    </w:p>
    <w:p w14:paraId="3F268C1F">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（2）时间：竣工验收合格且甲方收到发票后30日内。</w:t>
      </w:r>
    </w:p>
    <w:p w14:paraId="427C282E">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（3）条件：按合同要求全部履约完成并经甲方验收合格，且甲方收到乙方出具的发票。</w:t>
      </w:r>
    </w:p>
    <w:p w14:paraId="6B5C28DF">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（4）不予退还情形：</w:t>
      </w:r>
    </w:p>
    <w:p w14:paraId="528C3A6F">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除不可抗力情况外，投标人出现下列情形之一的，其履约保证金甲方将视情节决定不予退还或部分不予退还。</w:t>
      </w:r>
    </w:p>
    <w:p w14:paraId="67504763">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1）中标人无正当理由拒绝签订合同的，或者在签订合同时向采购人提出附加条件或者更改合同实质性内容要求的；</w:t>
      </w:r>
    </w:p>
    <w:p w14:paraId="6623783B">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2）中标人不履行与采购人订立的合同的；</w:t>
      </w:r>
    </w:p>
    <w:p w14:paraId="10240C82">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3）中标人工程质量不符合采购文件规定要求的；</w:t>
      </w:r>
    </w:p>
    <w:p w14:paraId="7C1955EC">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4）中标人采取欺骗、弄虚作假方式投标的或与其它投标人串通投标的；</w:t>
      </w:r>
    </w:p>
    <w:p w14:paraId="78739D29">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5）中标人将合同内容转包、违法分包的；</w:t>
      </w:r>
    </w:p>
    <w:p w14:paraId="4A50BF50">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6）中标人故意捏造事实或伪造证明材料，进行虚假恶意投诉或反映的。</w:t>
      </w:r>
    </w:p>
    <w:p w14:paraId="7707EDB6">
      <w:pPr>
        <w:widowControl w:val="0"/>
        <w:spacing w:line="480" w:lineRule="exact"/>
        <w:ind w:firstLine="480"/>
        <w:jc w:val="both"/>
        <w:rPr>
          <w:rFonts w:ascii="宋体" w:hAnsi="宋体" w:cs="宋体"/>
          <w:color w:val="auto"/>
          <w:sz w:val="24"/>
          <w:szCs w:val="24"/>
          <w:highlight w:val="none"/>
        </w:rPr>
      </w:pPr>
      <w:r>
        <w:rPr>
          <w:rFonts w:hint="eastAsia" w:ascii="宋体" w:hAnsi="宋体" w:cs="Calibri"/>
          <w:color w:val="auto"/>
          <w:sz w:val="24"/>
          <w:szCs w:val="24"/>
          <w:highlight w:val="none"/>
        </w:rPr>
        <w:t>4.2.5逾期退还的违约责任：甲方逾期无故未退还履约保证金的，按中国人民银行同期贷款基准利率上浮20%后的利率支付超期资金占用费，但因乙方自身原因导致无法及时退还的除外。</w:t>
      </w:r>
    </w:p>
    <w:p w14:paraId="4FE693BD">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4.3 分包</w:t>
      </w:r>
    </w:p>
    <w:p w14:paraId="7656D56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本项目不允许违法分包，严禁转包。</w:t>
      </w:r>
    </w:p>
    <w:p w14:paraId="3D544E5B">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4.8 保障乙方人员的合法权益</w:t>
      </w:r>
    </w:p>
    <w:p w14:paraId="025E2FF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4.8.8乙方的项目经理部是民工工资支付行为的主体，乙方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p>
    <w:p w14:paraId="4464FE1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严格遵守国家有关解决拖欠工程款和劳务用工工资的法律、法规和规定，及时支付工程中的材料、设备货款及劳务用工工资等费用，且应签订劳务用工合同。乙方不得以任何借口拖欠材料、设备货款及劳务用工工资，如果出现此种现象，一经查实后，一律通报并责令乙方自行组织资金迅速偿还欠款。在必要时，甲方有权从应付给乙方的工程款中代为支付其拖欠的材料、设备货款及民工工资。对恶意拖欠和拒不按计划支付的，将报交通主管部门。</w:t>
      </w:r>
    </w:p>
    <w:p w14:paraId="0F23FCB7">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4.11 不利物质条件</w:t>
      </w:r>
    </w:p>
    <w:p w14:paraId="4779849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第4.11.3项约定为：</w:t>
      </w:r>
    </w:p>
    <w:p w14:paraId="2EDC08B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本项目可预见的不利物质条件范围包括：图纸中已明确指出的不利的地下和水文条件 。</w:t>
      </w:r>
    </w:p>
    <w:p w14:paraId="1B3C0139">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5.材料和工程设备</w:t>
      </w:r>
    </w:p>
    <w:p w14:paraId="755D38F1">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5.1 乙方提供的材料和工程设备</w:t>
      </w:r>
    </w:p>
    <w:p w14:paraId="6CEA6632">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补充第5.1.4款</w:t>
      </w:r>
    </w:p>
    <w:p w14:paraId="050B32A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实施和完成本合同工程及其缺陷的修复，乙方应按投标函附表中所报的型号、规格、数量和时间向现场调遣或租用主要施工机械及材料试验、测量、质检仪器设备，不得拖延、短缺或任意更换，否则将按第22款视为乙方违约。</w:t>
      </w:r>
    </w:p>
    <w:p w14:paraId="00F4091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尽管乙方已按投标函附表的要求提供了上述机械、设备和仪器，但监理人认为仍不能满足现场施工的需要并且不能保证工程质量时，监理人有权要求乙方继续调遣或租用某些设备、仪器。乙方在接到指令后应立即执行，否则将按第22款视为乙方违约。</w:t>
      </w:r>
    </w:p>
    <w:p w14:paraId="5A31CAE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乙方的施工机械、设备应在工程所在地办理机械、设备的安全施工相关手续，接受监督与管理，完成相关手续后方可投入使用。</w:t>
      </w:r>
    </w:p>
    <w:p w14:paraId="44A2D1B9">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5.2 甲方提供的材料和工程设备</w:t>
      </w:r>
    </w:p>
    <w:p w14:paraId="70773A1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本项目甲方不提供任何材料和工程设备。</w:t>
      </w:r>
    </w:p>
    <w:p w14:paraId="764A6BA7">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6. 施工设备和临时设施</w:t>
      </w:r>
    </w:p>
    <w:p w14:paraId="309EAD2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第6.3款细化为：</w:t>
      </w:r>
    </w:p>
    <w:p w14:paraId="3B487FB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实施和完成本合同工程及其缺陷的修复，乙方应按响应文件承诺的型号、规格、数量和时间向现场调遣或租用主要施工机械及材料试验、测量、质检仪器设备，不得拖延、短缺或任意更换，否则将按第22.1款视为乙方违约。</w:t>
      </w:r>
    </w:p>
    <w:p w14:paraId="1E86396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尽管乙方已按承诺提供了上述机械、设备和仪器，但若乙方使用的施工机械、设备和仪器不能满足合同进度计划和(或)质量要求时，监理人有权要求乙方增加或更换施工机械、设备和仪器，乙方应及时增加或更换，由此增加的费用和(或)工期延误由乙方承担。乙方在接到监理人指令后应立即执行，否则将按第22.1款视为乙方违约。</w:t>
      </w:r>
    </w:p>
    <w:p w14:paraId="1EACC7B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乙方的施工机械、设备应在工程所在地办理机械、设备的安全施工相关手续，接受监督与管理，完成相关手续后方可投入使用。</w:t>
      </w:r>
    </w:p>
    <w:p w14:paraId="0C5C16E7">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7.交通运输</w:t>
      </w:r>
    </w:p>
    <w:p w14:paraId="5713066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补充第7.2.3款为：</w:t>
      </w:r>
    </w:p>
    <w:p w14:paraId="7020FE8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除合同另有规定外，乙方为实施和完成本合同工程及缺陷修复工作中一切施工作业所需的临时出入现场和施工运输，应对所使用的由甲方提供的或按需要由乙方自建的或借用、占用、利用当地的所有出入现场的临时道路进行养护和维修，直到工程竣工，并应保证甲方免于承担因上述临时道路的使用所引起的补偿费、诉讼费、损害赔偿、指控费及其它开支。</w:t>
      </w:r>
    </w:p>
    <w:p w14:paraId="48CF265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施工期间必须封闭施工，施工单位负责封闭施工的一切手续，甲方协助乙方办理。办理的一切费用考虑在投标报价中，甲方不再另行支付。</w:t>
      </w:r>
    </w:p>
    <w:p w14:paraId="00E5182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第7.5细化为：</w:t>
      </w:r>
    </w:p>
    <w:p w14:paraId="3184294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出入现场、施工运输，使用地方道路或航道时，应认为乙方已接受原有地方道路、桥涵、排水沟、航道等是完好的，乙方应负责自费与地方协调、改善、加固并养护，因乙方出入或施工运输使用造成的损坏，乙方应负责自行处理。乙方在实施和完成本合同工程及缺陷修复工作中的一切施工作业应保证甲方免于承担因乙方借用、占用或使用当地道路或其他交通设施所引起的补偿费、诉讼费、损害赔偿、指控费及其他开支。</w:t>
      </w:r>
    </w:p>
    <w:p w14:paraId="38703EB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为保证道路交通安全及运输畅通，乙方应采取以下措施:</w:t>
      </w:r>
    </w:p>
    <w:p w14:paraId="1B45C86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 当施工期间，乙方必须在与交通和公安部门协商下，采取足够的引导交通措施。</w:t>
      </w:r>
    </w:p>
    <w:p w14:paraId="4176553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 乙方制定运输计划时，应避开现有道路上在高峰时的运输。</w:t>
      </w:r>
    </w:p>
    <w:p w14:paraId="4E4C6C74">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8.2 施工测量</w:t>
      </w:r>
    </w:p>
    <w:p w14:paraId="644E0CF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补充8.2.3、8.2.4款：</w:t>
      </w:r>
    </w:p>
    <w:p w14:paraId="073B1D9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8.2.3 乙方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乙方应自费纠正，直到监理人认为符合合同规定为止。</w:t>
      </w:r>
    </w:p>
    <w:p w14:paraId="38261D4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8.2.4 乙方应当将每次施工测量资料报监理人审核，对于重要的主体工程的施工测量资料，应至少在48小时前通知监理人进行复测。</w:t>
      </w:r>
    </w:p>
    <w:p w14:paraId="13C0F8A9">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8.3 基准资料错误的责任</w:t>
      </w:r>
    </w:p>
    <w:p w14:paraId="3ED9BBB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本款补充：</w:t>
      </w:r>
    </w:p>
    <w:p w14:paraId="20D7AB4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乙方应对甲方提供的基准资料进行核实，发现错误，应及时通知监理人和甲方，否则应承担相应责任。</w:t>
      </w:r>
    </w:p>
    <w:p w14:paraId="2C4109DF">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9.3 治安保卫</w:t>
      </w:r>
    </w:p>
    <w:p w14:paraId="3B75999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补充9.3.4项：</w:t>
      </w:r>
    </w:p>
    <w:p w14:paraId="77269CD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在符合合同要求的范围内，进行为工程的施工和竣工以及对任何缺陷做必要的补救，均应以不使下述各方面遭受不必要的和不恰当的干扰为条件：</w:t>
      </w:r>
    </w:p>
    <w:p w14:paraId="72673BA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 公众的便利；</w:t>
      </w:r>
    </w:p>
    <w:p w14:paraId="471C6E2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(2) 公用道路或私人道路以及通往属于甲方或他人财产的人行小道的进入使用和占用；</w:t>
      </w:r>
    </w:p>
    <w:p w14:paraId="78C1070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(3) 河流、航道、铁路、城镇道路和其他公共交通运输线路等；</w:t>
      </w:r>
    </w:p>
    <w:p w14:paraId="67809A06">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(4) 区中或地下的属于公共、团体或他人的管线和设施。</w:t>
      </w:r>
    </w:p>
    <w:p w14:paraId="54E15C9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如果发生上述情况，并由此导致索赔、赔偿、诉讼费用及其它开支时，应由乙方承担一切责任及费用，但由于甲方或监理人对本工程提供的设计所引起的必然影响除外。</w:t>
      </w:r>
    </w:p>
    <w:p w14:paraId="620DBD65">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10.1 合同进度计划</w:t>
      </w:r>
    </w:p>
    <w:p w14:paraId="5A5A1C1F">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乙方编制施工方案说明的内容：乙方应在签订合同协议书后7天之内按甲方和监理人的要求将其编制的施工方案应报送监理人审批。</w:t>
      </w:r>
    </w:p>
    <w:p w14:paraId="426D449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乙方编制施工方案的内容：必须有以下几个内容（但不局限于）：</w:t>
      </w:r>
    </w:p>
    <w:p w14:paraId="25306EF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① 组织体系、质保体系、安全体系</w:t>
      </w:r>
    </w:p>
    <w:p w14:paraId="441A99A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② 护栏施工方案</w:t>
      </w:r>
    </w:p>
    <w:p w14:paraId="3610CD83">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③ 交通组织方案</w:t>
      </w:r>
    </w:p>
    <w:p w14:paraId="286CA90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补充10.</w:t>
      </w:r>
      <w:r>
        <w:rPr>
          <w:rFonts w:ascii="宋体" w:hAnsi="宋体" w:cs="宋体"/>
          <w:color w:val="auto"/>
          <w:sz w:val="24"/>
          <w:szCs w:val="24"/>
          <w:highlight w:val="none"/>
        </w:rPr>
        <w:t>3</w:t>
      </w:r>
      <w:r>
        <w:rPr>
          <w:rFonts w:hint="eastAsia" w:ascii="宋体" w:hAnsi="宋体" w:cs="宋体"/>
          <w:color w:val="auto"/>
          <w:sz w:val="24"/>
          <w:szCs w:val="24"/>
          <w:highlight w:val="none"/>
        </w:rPr>
        <w:t>款：</w:t>
      </w:r>
    </w:p>
    <w:p w14:paraId="51A20126">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10.</w:t>
      </w:r>
      <w:r>
        <w:rPr>
          <w:rFonts w:ascii="宋体" w:hAnsi="宋体" w:cs="宋体"/>
          <w:color w:val="auto"/>
          <w:sz w:val="24"/>
          <w:szCs w:val="24"/>
          <w:highlight w:val="none"/>
        </w:rPr>
        <w:t>3</w:t>
      </w:r>
      <w:r>
        <w:rPr>
          <w:rFonts w:hint="eastAsia" w:ascii="宋体" w:hAnsi="宋体" w:cs="宋体"/>
          <w:color w:val="auto"/>
          <w:sz w:val="24"/>
          <w:szCs w:val="24"/>
          <w:highlight w:val="none"/>
        </w:rPr>
        <w:t>计划编制工具</w:t>
      </w:r>
    </w:p>
    <w:p w14:paraId="5D6B73B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乙方应按甲方规定执行工程进度旬报、月报制度，编制总体计划和旬度、月度计划。</w:t>
      </w:r>
    </w:p>
    <w:p w14:paraId="48273E3F">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11.4 异常恶劣的气候条件</w:t>
      </w:r>
    </w:p>
    <w:p w14:paraId="0A8D716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异常恶劣的气候条件的范围：指项目所在地30年以上一遇的罕见气候现象【包括发生烈度七度(含七度)以上地震、龙卷风、工地受淹超过桥梁设计洪水水位以及不利的降水等引起的延误的情况】。</w:t>
      </w:r>
    </w:p>
    <w:p w14:paraId="5C9A466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上述不利降水的衡量标准如下：</w:t>
      </w:r>
    </w:p>
    <w:p w14:paraId="2FEE70F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 按本省气象部门统计的降水资料，取最近二十年的平均降水天数为标准；</w:t>
      </w:r>
    </w:p>
    <w:p w14:paraId="3BE4E98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 按实际统计的年降水天数与(a)所指的年降水天数之差，每年计算一次；监理人将根据乙方的申请予以评定，监理人评定恶劣气候对工程的影响还将考虑用施工期限内其它月份的异常良好的气候的时间予以补偿。异常气候在每一个月对工程进度影响的评定应在整个合同期内予以累计。</w:t>
      </w:r>
    </w:p>
    <w:p w14:paraId="7A135ED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c. 不考虑每一降水过程后所影响的施工时间。</w:t>
      </w:r>
    </w:p>
    <w:p w14:paraId="6D5FE33F">
      <w:pPr>
        <w:widowControl w:val="0"/>
        <w:spacing w:line="480" w:lineRule="exact"/>
        <w:ind w:firstLine="480"/>
        <w:jc w:val="both"/>
        <w:rPr>
          <w:rFonts w:ascii="宋体" w:hAnsi="宋体" w:cs="宋体"/>
          <w:color w:val="auto"/>
          <w:sz w:val="24"/>
          <w:szCs w:val="24"/>
          <w:highlight w:val="none"/>
        </w:rPr>
      </w:pPr>
      <w:r>
        <w:rPr>
          <w:rFonts w:ascii="宋体" w:hAnsi="宋体" w:cs="宋体"/>
          <w:color w:val="auto"/>
          <w:sz w:val="24"/>
          <w:szCs w:val="24"/>
          <w:highlight w:val="none"/>
        </w:rPr>
        <w:t>13.</w:t>
      </w:r>
      <w:r>
        <w:rPr>
          <w:rFonts w:hint="eastAsia" w:ascii="宋体" w:hAnsi="宋体" w:cs="宋体"/>
          <w:color w:val="auto"/>
          <w:sz w:val="24"/>
          <w:szCs w:val="24"/>
          <w:highlight w:val="none"/>
        </w:rPr>
        <w:t>工程质量</w:t>
      </w:r>
    </w:p>
    <w:p w14:paraId="44116874">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3</w:t>
      </w:r>
      <w:r>
        <w:rPr>
          <w:rFonts w:hint="eastAsia" w:ascii="宋体" w:hAnsi="宋体" w:cs="宋体"/>
          <w:color w:val="auto"/>
          <w:sz w:val="24"/>
          <w:szCs w:val="24"/>
          <w:highlight w:val="none"/>
        </w:rPr>
        <w:t>.1.</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 本工程质量标准为“合格”标准，合同质量目标以乙方投标时承诺的质量目标为准。</w:t>
      </w:r>
    </w:p>
    <w:p w14:paraId="3ACC8D8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3</w:t>
      </w:r>
      <w:r>
        <w:rPr>
          <w:rFonts w:hint="eastAsia" w:ascii="宋体" w:hAnsi="宋体" w:cs="宋体"/>
          <w:color w:val="auto"/>
          <w:sz w:val="24"/>
          <w:szCs w:val="24"/>
          <w:highlight w:val="none"/>
        </w:rPr>
        <w:t>.</w:t>
      </w:r>
      <w:r>
        <w:rPr>
          <w:rFonts w:ascii="宋体" w:hAnsi="宋体" w:cs="宋体"/>
          <w:color w:val="auto"/>
          <w:sz w:val="24"/>
          <w:szCs w:val="24"/>
          <w:highlight w:val="none"/>
        </w:rPr>
        <w:t>1.5</w:t>
      </w:r>
      <w:r>
        <w:rPr>
          <w:rFonts w:hint="eastAsia" w:ascii="宋体" w:hAnsi="宋体" w:cs="宋体"/>
          <w:color w:val="auto"/>
          <w:sz w:val="24"/>
          <w:szCs w:val="24"/>
          <w:highlight w:val="none"/>
        </w:rPr>
        <w:t xml:space="preserve"> 实际施工过程中，如果达不到承诺质量目标，乙方必须无偿整改达到承诺质量目标，另按投标总价（不含暂定金）的1.0%向甲方支付违约金，直接从本工程的履约保证金或工程款中扣除。由此造成的工期延误将不予顺延，给甲方造成实际损失的还将承担经济赔偿责任。</w:t>
      </w:r>
    </w:p>
    <w:p w14:paraId="156175BB">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14.试验和检验</w:t>
      </w:r>
    </w:p>
    <w:p w14:paraId="00622D48">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补充第14.</w:t>
      </w:r>
      <w:r>
        <w:rPr>
          <w:rFonts w:ascii="宋体" w:hAnsi="宋体" w:cs="宋体"/>
          <w:color w:val="auto"/>
          <w:sz w:val="24"/>
          <w:szCs w:val="24"/>
          <w:highlight w:val="none"/>
        </w:rPr>
        <w:t>4</w:t>
      </w:r>
      <w:r>
        <w:rPr>
          <w:rFonts w:hint="eastAsia" w:ascii="宋体" w:hAnsi="宋体" w:cs="宋体"/>
          <w:color w:val="auto"/>
          <w:sz w:val="24"/>
          <w:szCs w:val="24"/>
          <w:highlight w:val="none"/>
        </w:rPr>
        <w:t>款：</w:t>
      </w:r>
    </w:p>
    <w:p w14:paraId="2A9260F0">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当乙方与监理人就材料或设备的检验结果发生争端时，监理人可以将材料或设备的检查和检验委托给一家独立的检验单位。该检验单位必须具有国家技术监督局和专业机构的认证资格。当该独立检验单位对材料或设备的检验结果证明监理人检验的结果是正确的，则乙方应接受监理人的指令，并承担委托检验费，否则，委托费应由甲方承担。</w:t>
      </w:r>
    </w:p>
    <w:p w14:paraId="57BB806C">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补充第14.</w:t>
      </w:r>
      <w:r>
        <w:rPr>
          <w:rFonts w:ascii="宋体" w:hAnsi="宋体" w:cs="宋体"/>
          <w:color w:val="auto"/>
          <w:sz w:val="24"/>
          <w:szCs w:val="24"/>
          <w:highlight w:val="none"/>
        </w:rPr>
        <w:t>6</w:t>
      </w:r>
      <w:r>
        <w:rPr>
          <w:rFonts w:hint="eastAsia" w:ascii="宋体" w:hAnsi="宋体" w:cs="宋体"/>
          <w:color w:val="auto"/>
          <w:sz w:val="24"/>
          <w:szCs w:val="24"/>
          <w:highlight w:val="none"/>
        </w:rPr>
        <w:t>款：</w:t>
      </w:r>
    </w:p>
    <w:p w14:paraId="3932DDC7">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在合同实施期间，根据工程需要，甲方可能在本工程工地进行有关试验，乙方应积极配合并承担相应的工作，但不得对因此可能发生的人工、机械闲置损失向甲方提出补偿要求。</w:t>
      </w:r>
    </w:p>
    <w:p w14:paraId="4E2810FB">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16.1 价格调整</w:t>
      </w:r>
    </w:p>
    <w:p w14:paraId="1D781E4F">
      <w:pPr>
        <w:widowControl w:val="0"/>
        <w:spacing w:line="480" w:lineRule="exact"/>
        <w:ind w:firstLine="482"/>
        <w:jc w:val="both"/>
        <w:rPr>
          <w:rFonts w:ascii="宋体" w:hAnsi="宋体" w:cs="Calibri"/>
          <w:b/>
          <w:color w:val="auto"/>
          <w:sz w:val="24"/>
          <w:szCs w:val="24"/>
          <w:highlight w:val="none"/>
        </w:rPr>
      </w:pPr>
      <w:r>
        <w:rPr>
          <w:rFonts w:hint="eastAsia" w:ascii="宋体" w:hAnsi="宋体" w:cs="Calibri"/>
          <w:b/>
          <w:color w:val="auto"/>
          <w:sz w:val="24"/>
          <w:szCs w:val="24"/>
          <w:highlight w:val="none"/>
        </w:rPr>
        <w:t>本工程在招投标及实施过程中，人工、机械、材料价格风险均由乙方承担，工程结算时不予调整。</w:t>
      </w:r>
    </w:p>
    <w:p w14:paraId="697F4C8E">
      <w:pPr>
        <w:widowControl w:val="0"/>
        <w:spacing w:line="480" w:lineRule="exact"/>
        <w:ind w:firstLine="482"/>
        <w:jc w:val="both"/>
        <w:rPr>
          <w:rFonts w:ascii="宋体" w:hAnsi="宋体" w:cs="Calibri"/>
          <w:b/>
          <w:color w:val="auto"/>
          <w:sz w:val="24"/>
          <w:szCs w:val="24"/>
          <w:highlight w:val="none"/>
        </w:rPr>
      </w:pPr>
      <w:r>
        <w:rPr>
          <w:rFonts w:hint="eastAsia" w:ascii="宋体" w:hAnsi="宋体" w:cs="Calibri"/>
          <w:b/>
          <w:color w:val="auto"/>
          <w:sz w:val="24"/>
          <w:szCs w:val="24"/>
          <w:highlight w:val="none"/>
        </w:rPr>
        <w:t>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p>
    <w:p w14:paraId="7C1122ED">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17.2  预付款</w:t>
      </w:r>
    </w:p>
    <w:p w14:paraId="75B88F18">
      <w:pPr>
        <w:widowControl w:val="0"/>
        <w:tabs>
          <w:tab w:val="left" w:pos="480"/>
        </w:tabs>
        <w:spacing w:line="480" w:lineRule="exact"/>
        <w:ind w:firstLine="480"/>
        <w:jc w:val="both"/>
        <w:rPr>
          <w:rFonts w:ascii="宋体" w:hAnsi="宋体" w:cs="宋体"/>
          <w:color w:val="auto"/>
          <w:sz w:val="24"/>
          <w:szCs w:val="24"/>
          <w:highlight w:val="yellow"/>
        </w:rPr>
      </w:pPr>
      <w:r>
        <w:rPr>
          <w:rFonts w:hint="eastAsia" w:ascii="宋体" w:hAnsi="宋体" w:cs="宋体"/>
          <w:color w:val="auto"/>
          <w:sz w:val="24"/>
          <w:szCs w:val="24"/>
          <w:highlight w:val="none"/>
        </w:rPr>
        <w:t>预付款：合同价款</w:t>
      </w:r>
      <w:r>
        <w:rPr>
          <w:rFonts w:hint="eastAsia" w:ascii="宋体" w:hAnsi="宋体" w:cs="Calibri"/>
          <w:bCs/>
          <w:color w:val="auto"/>
          <w:sz w:val="24"/>
          <w:szCs w:val="24"/>
          <w:highlight w:val="none"/>
        </w:rPr>
        <w:t>（不含暂列金）</w:t>
      </w:r>
      <w:r>
        <w:rPr>
          <w:rFonts w:hint="eastAsia" w:ascii="宋体" w:hAnsi="宋体" w:cs="宋体"/>
          <w:color w:val="auto"/>
          <w:sz w:val="24"/>
          <w:szCs w:val="24"/>
          <w:highlight w:val="none"/>
        </w:rPr>
        <w:t>的</w:t>
      </w:r>
      <w:r>
        <w:rPr>
          <w:rFonts w:hint="eastAsia" w:ascii="宋体" w:hAnsi="宋体" w:cs="Calibri"/>
          <w:bCs/>
          <w:color w:val="auto"/>
          <w:sz w:val="24"/>
          <w:szCs w:val="24"/>
          <w:highlight w:val="none"/>
        </w:rPr>
        <w:t>10%</w:t>
      </w:r>
      <w:r>
        <w:rPr>
          <w:rFonts w:hint="eastAsia" w:ascii="宋体" w:hAnsi="宋体" w:cs="宋体"/>
          <w:color w:val="auto"/>
          <w:sz w:val="24"/>
          <w:szCs w:val="24"/>
          <w:highlight w:val="none"/>
        </w:rPr>
        <w:t>。</w:t>
      </w:r>
    </w:p>
    <w:p w14:paraId="633F83A0">
      <w:pPr>
        <w:widowControl w:val="0"/>
        <w:tabs>
          <w:tab w:val="left" w:pos="480"/>
        </w:tabs>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17.3  工程进度付款</w:t>
      </w:r>
    </w:p>
    <w:p w14:paraId="442231D1">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本项目付款方式：</w:t>
      </w:r>
    </w:p>
    <w:p w14:paraId="39406F09">
      <w:pPr>
        <w:widowControl w:val="0"/>
        <w:spacing w:line="480" w:lineRule="exact"/>
        <w:ind w:firstLine="480"/>
        <w:jc w:val="both"/>
        <w:rPr>
          <w:rFonts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1、合同签订后可预付合同价款（不含暂列金）的10%；</w:t>
      </w:r>
    </w:p>
    <w:p w14:paraId="15E0242E">
      <w:pPr>
        <w:widowControl w:val="0"/>
        <w:spacing w:line="480" w:lineRule="exact"/>
        <w:ind w:firstLine="480"/>
        <w:jc w:val="both"/>
        <w:rPr>
          <w:rFonts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2、工程竣工验收合格后，发包人支付至合同价的</w:t>
      </w:r>
      <w:r>
        <w:rPr>
          <w:rFonts w:hint="eastAsia" w:cs="Calibri" w:asciiTheme="minorEastAsia" w:hAnsiTheme="minorEastAsia" w:eastAsiaTheme="minorEastAsia"/>
          <w:bCs/>
          <w:color w:val="auto"/>
          <w:sz w:val="24"/>
          <w:szCs w:val="24"/>
          <w:highlight w:val="none"/>
          <w:lang w:val="en-US" w:eastAsia="zh-CN"/>
        </w:rPr>
        <w:t>5</w:t>
      </w:r>
      <w:r>
        <w:rPr>
          <w:rFonts w:hint="eastAsia" w:cs="Calibri" w:asciiTheme="minorEastAsia" w:hAnsiTheme="minorEastAsia" w:eastAsiaTheme="minorEastAsia"/>
          <w:bCs/>
          <w:color w:val="auto"/>
          <w:sz w:val="24"/>
          <w:szCs w:val="24"/>
          <w:highlight w:val="none"/>
        </w:rPr>
        <w:t>0%；</w:t>
      </w:r>
    </w:p>
    <w:p w14:paraId="78980027">
      <w:pPr>
        <w:widowControl w:val="0"/>
        <w:spacing w:line="480" w:lineRule="exact"/>
        <w:ind w:firstLine="480"/>
        <w:jc w:val="both"/>
        <w:rPr>
          <w:rFonts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3、工程竣工验收合格一年后10日内，付至合同总价的80%；</w:t>
      </w:r>
    </w:p>
    <w:p w14:paraId="3D8C2946">
      <w:pPr>
        <w:widowControl w:val="0"/>
        <w:spacing w:line="480" w:lineRule="exact"/>
        <w:ind w:firstLine="480"/>
        <w:jc w:val="both"/>
        <w:rPr>
          <w:rFonts w:hint="eastAsia" w:cs="Calibri" w:asciiTheme="minorEastAsia" w:hAnsiTheme="minorEastAsia" w:eastAsiaTheme="minorEastAsia"/>
          <w:bCs/>
          <w:color w:val="auto"/>
          <w:sz w:val="24"/>
          <w:szCs w:val="24"/>
          <w:highlight w:val="none"/>
        </w:rPr>
      </w:pPr>
      <w:r>
        <w:rPr>
          <w:rFonts w:hint="eastAsia" w:cs="Calibri" w:asciiTheme="minorEastAsia" w:hAnsiTheme="minorEastAsia" w:eastAsiaTheme="minorEastAsia"/>
          <w:bCs/>
          <w:color w:val="auto"/>
          <w:sz w:val="24"/>
          <w:szCs w:val="24"/>
          <w:highlight w:val="none"/>
        </w:rPr>
        <w:t>4、工程竣工验收合格二年后，且经审计部门审计并出具报告，付清工程的所有审计价款（如还在质保期内，留5%审计价款作为质量保证金，待质保期满后无息退还）</w:t>
      </w:r>
    </w:p>
    <w:p w14:paraId="013A5B79">
      <w:pPr>
        <w:widowControl w:val="0"/>
        <w:spacing w:line="480" w:lineRule="exact"/>
        <w:ind w:firstLine="480"/>
        <w:jc w:val="both"/>
        <w:rPr>
          <w:rFonts w:ascii="宋体" w:hAnsi="宋体"/>
          <w:b/>
          <w:color w:val="auto"/>
          <w:sz w:val="24"/>
          <w:szCs w:val="24"/>
          <w:highlight w:val="none"/>
        </w:rPr>
      </w:pPr>
      <w:r>
        <w:rPr>
          <w:rFonts w:hint="eastAsia" w:asciiTheme="minorEastAsia" w:hAnsiTheme="minorEastAsia" w:eastAsiaTheme="minorEastAsia"/>
          <w:color w:val="auto"/>
          <w:sz w:val="24"/>
          <w:szCs w:val="24"/>
          <w:highlight w:val="none"/>
        </w:rPr>
        <w:t>注：上述款项均不计任何银行利息和财务费用，甲方付款前，乙方应提供相应金额的增值税发票。</w:t>
      </w:r>
    </w:p>
    <w:p w14:paraId="3C21FAAA">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17.</w:t>
      </w:r>
      <w:r>
        <w:rPr>
          <w:rFonts w:ascii="宋体" w:hAnsi="宋体" w:cs="宋体"/>
          <w:color w:val="auto"/>
          <w:sz w:val="24"/>
          <w:szCs w:val="24"/>
          <w:highlight w:val="none"/>
        </w:rPr>
        <w:t>5</w:t>
      </w:r>
      <w:r>
        <w:rPr>
          <w:rFonts w:hint="eastAsia" w:ascii="宋体" w:hAnsi="宋体" w:cs="宋体"/>
          <w:color w:val="auto"/>
          <w:sz w:val="24"/>
          <w:szCs w:val="24"/>
          <w:highlight w:val="none"/>
        </w:rPr>
        <w:t>竣工结算</w:t>
      </w:r>
    </w:p>
    <w:p w14:paraId="1F3B5ABB">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补充17.</w:t>
      </w: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b/>
          <w:color w:val="auto"/>
          <w:sz w:val="24"/>
          <w:szCs w:val="24"/>
          <w:highlight w:val="none"/>
        </w:rPr>
        <w:t>本工程甲方提供工程量清单的部分采用“固定单价”合同，合同实施过程中综合单价不作调整（但竞争性磋商文件和合同约定允许调整除外）</w:t>
      </w:r>
      <w:r>
        <w:rPr>
          <w:rFonts w:hint="eastAsia" w:ascii="宋体" w:hAnsi="宋体" w:cs="宋体"/>
          <w:color w:val="auto"/>
          <w:sz w:val="24"/>
          <w:szCs w:val="24"/>
          <w:highlight w:val="none"/>
        </w:rPr>
        <w:t>。</w:t>
      </w:r>
    </w:p>
    <w:p w14:paraId="2406447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补充17.</w:t>
      </w: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4</w:t>
      </w:r>
      <w:r>
        <w:rPr>
          <w:rFonts w:hint="eastAsia" w:ascii="宋体" w:hAnsi="宋体" w:cs="宋体"/>
          <w:color w:val="auto"/>
          <w:sz w:val="24"/>
          <w:szCs w:val="24"/>
          <w:highlight w:val="none"/>
        </w:rPr>
        <w:t xml:space="preserve"> </w:t>
      </w:r>
      <w:r>
        <w:rPr>
          <w:rFonts w:hint="eastAsia" w:ascii="宋体" w:hAnsi="宋体" w:cs="宋体"/>
          <w:b/>
          <w:color w:val="auto"/>
          <w:sz w:val="24"/>
          <w:szCs w:val="24"/>
          <w:highlight w:val="none"/>
        </w:rPr>
        <w:t>甲方要求乙方的投标报价应为完成施工图纸的全部内容，若无相关设计变更，除本竞争性磋商文件及施工合同约定允许调整外中标的综合单价不予调整，工程量按甲方、监理、审计、施工单位四方确认的工作量进行结算。最终以审计部门审查确认后的工程竣工结算价为准。</w:t>
      </w:r>
    </w:p>
    <w:p w14:paraId="2361E76D">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补充17.</w:t>
      </w:r>
      <w:r>
        <w:rPr>
          <w:rFonts w:ascii="宋体" w:hAnsi="宋体" w:cs="宋体"/>
          <w:color w:val="auto"/>
          <w:sz w:val="24"/>
          <w:szCs w:val="24"/>
          <w:highlight w:val="none"/>
        </w:rPr>
        <w:t>5</w:t>
      </w:r>
      <w:r>
        <w:rPr>
          <w:rFonts w:hint="eastAsia" w:ascii="宋体" w:hAnsi="宋体" w:cs="宋体"/>
          <w:color w:val="auto"/>
          <w:sz w:val="24"/>
          <w:szCs w:val="24"/>
          <w:highlight w:val="none"/>
        </w:rPr>
        <w:t>.</w:t>
      </w:r>
      <w:r>
        <w:rPr>
          <w:rFonts w:ascii="宋体" w:hAnsi="宋体" w:cs="宋体"/>
          <w:color w:val="auto"/>
          <w:sz w:val="24"/>
          <w:szCs w:val="24"/>
          <w:highlight w:val="none"/>
        </w:rPr>
        <w:t>6</w:t>
      </w:r>
      <w:r>
        <w:rPr>
          <w:rFonts w:hint="eastAsia" w:ascii="宋体" w:hAnsi="宋体" w:cs="宋体"/>
          <w:color w:val="auto"/>
          <w:sz w:val="24"/>
          <w:szCs w:val="24"/>
          <w:highlight w:val="none"/>
        </w:rPr>
        <w:t xml:space="preserve"> 本工程采用固定单价合同，合同中综合单价因甲方的工程量清单漏项或非乙方原因的工程变更（含设计变更），造成增加新的工程量清单项目需调整时，除合同另有约定外，应按照下列办法确定：</w:t>
      </w:r>
    </w:p>
    <w:p w14:paraId="6D1D1BF9">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a、合同中已有适用的综合单价，按合同中已有的综合单价确定；</w:t>
      </w:r>
    </w:p>
    <w:p w14:paraId="67678A5E">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b、合同中有类似的综合单价，参照类似的综合单价确定；</w:t>
      </w:r>
    </w:p>
    <w:p w14:paraId="7A93A935">
      <w:pPr>
        <w:widowControl w:val="0"/>
        <w:spacing w:line="480" w:lineRule="exact"/>
        <w:ind w:firstLine="480"/>
        <w:jc w:val="both"/>
        <w:rPr>
          <w:rFonts w:ascii="宋体" w:hAnsi="宋体" w:cs="宋体"/>
          <w:color w:val="auto"/>
          <w:sz w:val="24"/>
          <w:szCs w:val="24"/>
          <w:highlight w:val="none"/>
        </w:rPr>
      </w:pPr>
      <w:r>
        <w:rPr>
          <w:rFonts w:hint="eastAsia" w:ascii="宋体" w:hAnsi="宋体" w:cs="宋体"/>
          <w:color w:val="auto"/>
          <w:sz w:val="24"/>
          <w:szCs w:val="24"/>
          <w:highlight w:val="none"/>
        </w:rPr>
        <w:t>c、合同中没有适用或类似的综合单价，其相应综合单价由乙方依据竞争性磋商文件中相关计价的约定提出，经甲方审核后，执行中标下浮率同比下浮后结算。</w:t>
      </w:r>
    </w:p>
    <w:p w14:paraId="082CE989">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中标下浮率计算公式如下:</w:t>
      </w:r>
    </w:p>
    <w:p w14:paraId="3A6880A0">
      <w:pPr>
        <w:widowControl w:val="0"/>
        <w:spacing w:line="480" w:lineRule="exact"/>
        <w:ind w:firstLine="1680"/>
        <w:jc w:val="both"/>
        <w:rPr>
          <w:rFonts w:ascii="宋体" w:hAnsi="宋体" w:cs="Calibri"/>
          <w:color w:val="auto"/>
          <w:sz w:val="24"/>
          <w:szCs w:val="24"/>
          <w:highlight w:val="none"/>
        </w:rPr>
      </w:pPr>
      <w:r>
        <w:rPr>
          <w:rFonts w:hint="eastAsia" w:ascii="宋体" w:hAnsi="宋体" w:cs="Calibri"/>
          <w:color w:val="auto"/>
          <w:sz w:val="24"/>
          <w:szCs w:val="24"/>
          <w:highlight w:val="none"/>
        </w:rPr>
        <w:t>工程预算价（扣除暂列金额） — 投标报价 （扣除暂列金额）</w:t>
      </w:r>
    </w:p>
    <w:p w14:paraId="19F4AC77">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下浮率＝---------------------------------------------------------×100%</w:t>
      </w:r>
    </w:p>
    <w:p w14:paraId="0466B87D">
      <w:pPr>
        <w:widowControl w:val="0"/>
        <w:spacing w:line="480" w:lineRule="exact"/>
        <w:ind w:firstLine="480"/>
        <w:jc w:val="both"/>
        <w:rPr>
          <w:rFonts w:ascii="宋体" w:hAnsi="宋体" w:cs="Calibri"/>
          <w:color w:val="auto"/>
          <w:sz w:val="24"/>
          <w:szCs w:val="24"/>
          <w:highlight w:val="none"/>
        </w:rPr>
      </w:pPr>
      <w:r>
        <w:rPr>
          <w:rFonts w:hint="eastAsia" w:ascii="宋体" w:hAnsi="宋体" w:cs="Calibri"/>
          <w:color w:val="auto"/>
          <w:sz w:val="24"/>
          <w:szCs w:val="24"/>
          <w:highlight w:val="none"/>
        </w:rPr>
        <w:t xml:space="preserve">                    工程预算价（扣除暂列金额）</w:t>
      </w:r>
    </w:p>
    <w:p w14:paraId="7D2639EE">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18.7  竣工清场</w:t>
      </w:r>
    </w:p>
    <w:p w14:paraId="423A0ABD">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补充18.7.3款：</w:t>
      </w:r>
    </w:p>
    <w:p w14:paraId="041CDD0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为完成合同工程而由乙方实施的临时工程，工程竣工之后经监理人批准不须拆除的，其所有权归属甲方。</w:t>
      </w:r>
    </w:p>
    <w:p w14:paraId="5C901E24">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20.6.4 保险金不足的补偿</w:t>
      </w:r>
    </w:p>
    <w:p w14:paraId="3D32876B">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本款细化为：</w:t>
      </w:r>
    </w:p>
    <w:p w14:paraId="1F9BCD26">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保险金不足以补偿损失的（包括免赔偿和超过赔偿限额的部分），应按下列对甲方或乙方责任的规定，由甲方或乙方承担：</w:t>
      </w:r>
    </w:p>
    <w:p w14:paraId="2B37DFA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在乙方负责照管与维护期间，如果本合同工程或其组成部分，或将用于或安装在本合同工程中的材料、设备等发生损失或损害，不论出于什么原因（属于甲方的风险除外），乙方均应自费弥补，并达到合同要求。乙方还应对按“19 缺陷责任和保修责任”规定而实施作业的过程中由乙方造成的对工程的任何损失或损害负责。</w:t>
      </w:r>
    </w:p>
    <w:p w14:paraId="2049D3DE">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2、由于甲方风险所造成的损失或损害：</w:t>
      </w:r>
    </w:p>
    <w:p w14:paraId="08AEB53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a、由于本款规定的甲方风险中的任何一种已投保的甲方风险造成的上述损失或损害，乙方应在事故发生后及时报告监理人和保险公司并向保险公司提出索赔。不能从保险公司收回的免赔额部分由乙方自己承担，而超过保险公司最高赔偿限额的损失部分由甲方和乙方平均分担。</w:t>
      </w:r>
    </w:p>
    <w:p w14:paraId="1C7094CD">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b、由于乙方责任引起的事故损失或损害，已投保的保险无法赔偿的部分由乙方承担。</w:t>
      </w:r>
    </w:p>
    <w:p w14:paraId="4C0AF4B5">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c、由于本款规定的甲方风险中的任何一种无法投保的甲方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p>
    <w:p w14:paraId="2BFDDAC6">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d、由于甲方风险和若干其他风险结合而造成的上述损失和损害，在按照本款(a)或(c)(视情况而定)进行处理时，应考虑乙方和甲方双方按比例承担的责任。</w:t>
      </w:r>
    </w:p>
    <w:p w14:paraId="33BC458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3、属于甲方的风险包括：</w:t>
      </w:r>
    </w:p>
    <w:p w14:paraId="330C2D6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a、地震、海啸、龙卷风及其他自然灾害，但乙方从甲方提供的参考资料中能合理预见或能合理采取防范措施的自然灾害除外；</w:t>
      </w:r>
    </w:p>
    <w:p w14:paraId="435E69FA">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b、雷电、火灾、爆炸，但因乙方责任造成的火灾和爆炸除外；</w:t>
      </w:r>
    </w:p>
    <w:p w14:paraId="15EC870D">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c、飞机坠毁，飞机部件或飞行物体坠落；</w:t>
      </w:r>
    </w:p>
    <w:p w14:paraId="1FD1E1D7">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d、战争、政变、征用、罢工、暴乱、骚乱，但纯系乙方由本合同工程施工引起的骚乱除外；</w:t>
      </w:r>
    </w:p>
    <w:p w14:paraId="40AA9049">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e、核反应、辐射或放射性污染；</w:t>
      </w:r>
    </w:p>
    <w:p w14:paraId="4EDE8726">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f、除合同规定者外，永久工程的任何区段或单位工程被甲方使用或占用所造成的损失或损害；</w:t>
      </w:r>
    </w:p>
    <w:p w14:paraId="18FEA41B">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上述a～c项风险应按照第20条的规定办理保险，以便在风险发生时，能保护甲方和乙方的利益不受到损害。</w:t>
      </w:r>
    </w:p>
    <w:p w14:paraId="39C3B69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4、但是，由于下列情况本应却未能从承保人处收回偿额，应由乙方全部负责：</w:t>
      </w:r>
    </w:p>
    <w:p w14:paraId="64BF1A56">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a、乙方未按保险单规定的条件和期限及时向承保人报告事故情况；</w:t>
      </w:r>
    </w:p>
    <w:p w14:paraId="3F35463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b、乙方未履行保险单中规定的被保险人的义务。</w:t>
      </w:r>
    </w:p>
    <w:p w14:paraId="6A9C9F72">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21. 不可抗力</w:t>
      </w:r>
    </w:p>
    <w:p w14:paraId="4D8CF465">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21.1 不可抗力的确认</w:t>
      </w:r>
    </w:p>
    <w:p w14:paraId="4504BD8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21.1.1项补充：</w:t>
      </w:r>
    </w:p>
    <w:p w14:paraId="63F1A8BA">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本项所述(1)、(4)目风险应按照合同条款第20条的规定办理保险，以便在风险发生时，能保护甲方和乙方的利益不受到损害。</w:t>
      </w:r>
    </w:p>
    <w:p w14:paraId="0EAE8A64">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21.3 不可抗力后果及其处理</w:t>
      </w:r>
    </w:p>
    <w:p w14:paraId="0E204E1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本项(1)目补充：</w:t>
      </w:r>
    </w:p>
    <w:p w14:paraId="74A0BF29">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a、由于合同条款第21.1.1项中的任何一种已投保的不可抗力风险造成的上述损失或损害，乙方应在事故发生后及时报告监理人和保险人并向保险人提出索赔。不能从保险人收回的免赔额部分由乙方自己承担，而超过保险人最高赔偿限额的损失部分由甲方和乙方平均分担。</w:t>
      </w:r>
    </w:p>
    <w:p w14:paraId="6E66A701">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b、由于合同条款第21.1.1项中的任何一种无法投保的不可抗力风险造成的上述损失或损害，乙方应在监理人要求的范围内弥补损失或损害。同时，监理人应按照合同规定在与乙方协商并报甲方批准后，确定合同价格的增加额，通知乙方，并抄送甲方。甲方和乙方均应采取措施尽量避免和减少损失的扩大，任何一方没有采取有效措施导致损失扩大的，应对扩大的损失承担责任。</w:t>
      </w:r>
    </w:p>
    <w:p w14:paraId="14BE308A">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c、由于不可抗力风险和若干其他风险结合而造成的上述损失和损害，在按照本目(a)或(b)(视情况而定)进行处理时，应考虑乙方和甲方双方按比例承担的责任。</w:t>
      </w:r>
    </w:p>
    <w:p w14:paraId="0A8635A1">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22.1  乙方违约</w:t>
      </w:r>
    </w:p>
    <w:p w14:paraId="3ABEF607">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22.1.2 当乙方发生第22.1.1项约定的违约情况时，甲方有权向乙方扣以违约金，具体约定如下：</w:t>
      </w:r>
    </w:p>
    <w:p w14:paraId="2BC0AC7B">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如果发生22.1.1款乙方违约的情况，甲方可视乙方违约的严重程度采取下列措施之一：</w:t>
      </w:r>
    </w:p>
    <w:p w14:paraId="1BF24CB7">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甲方可按签约时签约合同价的1%—10%的金额扣缴乙方违约金，该违约金在履约担保中扣除。即使交纳了违约金，乙方仍应按合同规定继续实施和完成本合同工程及其缺陷修复；若乙方未经批准擅自撤离工地，甲方除扣除乙方的全部履约担保（含现金担保）和工程款项之外，并不承担乙方与其它乙方、供货商等的经济纠纷和法律责任，也不赔偿任何费用。</w:t>
      </w:r>
    </w:p>
    <w:p w14:paraId="754592E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甲方可雇用其他乙方完成部分工程。乙方无权对此提出反对意见并应按合同规定完成合同工程其余部分的施工和缺陷修复。在这种情况下，甲方向乙方支付的合同价格中不应包括由其他乙方完成的那部分工程的价格。监理人应确定由于乙方违约而给甲方造成的费用增加和其他损失，报甲方批准后从应付或到期应付给乙方的款项中扣除，监理人应将上述决定通知乙方，并抄送甲方。</w:t>
      </w:r>
    </w:p>
    <w:p w14:paraId="2B94277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甲方在向乙方发出书面通知的14天之后可以进驻现场和接管工程，终止乙方对本合同工程的承包，但不因此解除合同规定的乙方的任何义务和责任，或影响合同赋予甲方或监理人的各种权利和权限。甲方可自行完成该工程，或邀请其他乙方完成该工程。甲方或其他乙方为了完成本工程可以使用任何乙方设备、临时工程和材料。合同终止后的有关事宜应按照第22.1.4和22.1.5款的规定办理。</w:t>
      </w:r>
    </w:p>
    <w:p w14:paraId="315618C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此外，当乙方发生了下述违约现象之后，甲方可依据下列具体情况扣除乙方的违约金：</w:t>
      </w:r>
    </w:p>
    <w:p w14:paraId="5924D08F">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 乙方在监理人规定的截止日前，投标书附表中所列的项目经理、项目总工程师没有按时进场，或进场后，未经批准又离开工地，</w:t>
      </w:r>
      <w:r>
        <w:rPr>
          <w:rFonts w:hint="eastAsia" w:cs="宋体" w:asciiTheme="minorEastAsia" w:hAnsiTheme="minorEastAsia" w:eastAsiaTheme="minorEastAsia"/>
          <w:bCs/>
          <w:color w:val="auto"/>
          <w:sz w:val="24"/>
          <w:szCs w:val="24"/>
          <w:highlight w:val="none"/>
        </w:rPr>
        <w:t>甲方将按1000元/人</w:t>
      </w:r>
      <w:r>
        <w:rPr>
          <w:rFonts w:hint="eastAsia" w:cs="宋体" w:asciiTheme="minorEastAsia" w:hAnsiTheme="minorEastAsia" w:eastAsiaTheme="minorEastAsia"/>
          <w:color w:val="auto"/>
          <w:sz w:val="24"/>
          <w:szCs w:val="24"/>
          <w:highlight w:val="none"/>
        </w:rPr>
        <w:t>·天扣除违约金；其他工地主要人员没有按时进场，或进场后，未经批准又离开工地，</w:t>
      </w:r>
      <w:r>
        <w:rPr>
          <w:rFonts w:hint="eastAsia" w:cs="宋体" w:asciiTheme="minorEastAsia" w:hAnsiTheme="minorEastAsia" w:eastAsiaTheme="minorEastAsia"/>
          <w:bCs/>
          <w:color w:val="auto"/>
          <w:sz w:val="24"/>
          <w:szCs w:val="24"/>
          <w:highlight w:val="none"/>
        </w:rPr>
        <w:t>甲方将按500元/人</w:t>
      </w:r>
      <w:r>
        <w:rPr>
          <w:rFonts w:hint="eastAsia" w:cs="宋体" w:asciiTheme="minorEastAsia" w:hAnsiTheme="minorEastAsia" w:eastAsiaTheme="minorEastAsia"/>
          <w:color w:val="auto"/>
          <w:sz w:val="24"/>
          <w:szCs w:val="24"/>
          <w:highlight w:val="none"/>
        </w:rPr>
        <w:t>·天扣除违约金，直至缺员进场为止。</w:t>
      </w:r>
    </w:p>
    <w:p w14:paraId="72D6B10F">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无论是否征得甲方和监理人的同意（特殊情况除外），投标书附表中所列的工地人员，如更换项目经理100</w:t>
      </w:r>
      <w:r>
        <w:rPr>
          <w:rFonts w:hint="eastAsia" w:cs="宋体" w:asciiTheme="minorEastAsia" w:hAnsiTheme="minorEastAsia" w:eastAsiaTheme="minorEastAsia"/>
          <w:bCs/>
          <w:color w:val="auto"/>
          <w:sz w:val="24"/>
          <w:szCs w:val="24"/>
          <w:highlight w:val="none"/>
        </w:rPr>
        <w:t>000元/人次</w:t>
      </w:r>
      <w:r>
        <w:rPr>
          <w:rFonts w:hint="eastAsia" w:cs="宋体" w:asciiTheme="minorEastAsia" w:hAnsiTheme="minorEastAsia" w:eastAsiaTheme="minorEastAsia"/>
          <w:color w:val="auto"/>
          <w:sz w:val="24"/>
          <w:szCs w:val="24"/>
          <w:highlight w:val="none"/>
        </w:rPr>
        <w:t>、更换技术负责人（总工）</w:t>
      </w:r>
      <w:r>
        <w:rPr>
          <w:rFonts w:hint="eastAsia" w:cs="宋体" w:asciiTheme="minorEastAsia" w:hAnsiTheme="minorEastAsia" w:eastAsiaTheme="minorEastAsia"/>
          <w:bCs/>
          <w:color w:val="auto"/>
          <w:sz w:val="24"/>
          <w:szCs w:val="24"/>
          <w:highlight w:val="none"/>
        </w:rPr>
        <w:t>50000元/人次</w:t>
      </w:r>
      <w:r>
        <w:rPr>
          <w:rFonts w:hint="eastAsia" w:cs="宋体" w:asciiTheme="minorEastAsia" w:hAnsiTheme="minorEastAsia" w:eastAsiaTheme="minorEastAsia"/>
          <w:color w:val="auto"/>
          <w:sz w:val="24"/>
          <w:szCs w:val="24"/>
          <w:highlight w:val="none"/>
        </w:rPr>
        <w:t>、更换质检、试验、道路等专业工程师、专职安全员50000元/人次，若乙方擅自更换主要人员，甲方将扣违约金，并按相关规定处理。</w:t>
      </w:r>
    </w:p>
    <w:p w14:paraId="518C71D3">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乙方在监理人规定的截止日前，响应文件所列的主要机械及试验、测量设备不能按时进场，每迟到1天，甲方将按照该设备的台班费的三倍扣除违约金，直到设备进场为止。</w:t>
      </w:r>
    </w:p>
    <w:p w14:paraId="29286A3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 在工程实施期间，未经监理人批准，乙方进场的施工机械和材料试验、质检仪器设备撤离现场，甲方将按该设备的重置价值从工程期中支付款中扣除违约金。</w:t>
      </w:r>
    </w:p>
    <w:p w14:paraId="0E632A6B">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 在工程实施期间，乙方应制定阶段性工期目标并提交监理人批准，并努力完成工期目标。若乙方不能完成工期目标，则按</w:t>
      </w:r>
      <w:r>
        <w:rPr>
          <w:rFonts w:hint="eastAsia" w:cs="宋体" w:asciiTheme="minorEastAsia" w:hAnsiTheme="minorEastAsia" w:eastAsiaTheme="minorEastAsia"/>
          <w:bCs/>
          <w:color w:val="auto"/>
          <w:sz w:val="24"/>
          <w:szCs w:val="24"/>
          <w:highlight w:val="none"/>
        </w:rPr>
        <w:t>2000元/天</w:t>
      </w:r>
      <w:r>
        <w:rPr>
          <w:rFonts w:hint="eastAsia" w:cs="宋体" w:asciiTheme="minorEastAsia" w:hAnsiTheme="minorEastAsia" w:eastAsiaTheme="minorEastAsia"/>
          <w:color w:val="auto"/>
          <w:sz w:val="24"/>
          <w:szCs w:val="24"/>
          <w:highlight w:val="none"/>
        </w:rPr>
        <w:t>标准扣除乙方的违约金。</w:t>
      </w:r>
    </w:p>
    <w:p w14:paraId="027DB272">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 在施工期间，乙方若违反施工操作及管理程序，一经甲方发现，则按</w:t>
      </w:r>
      <w:r>
        <w:rPr>
          <w:rFonts w:hint="eastAsia" w:cs="宋体" w:asciiTheme="minorEastAsia" w:hAnsiTheme="minorEastAsia" w:eastAsiaTheme="minorEastAsia"/>
          <w:bCs/>
          <w:color w:val="auto"/>
          <w:sz w:val="24"/>
          <w:szCs w:val="24"/>
          <w:highlight w:val="none"/>
        </w:rPr>
        <w:t>5000元/次</w:t>
      </w:r>
      <w:r>
        <w:rPr>
          <w:rFonts w:hint="eastAsia" w:cs="宋体" w:asciiTheme="minorEastAsia" w:hAnsiTheme="minorEastAsia" w:eastAsiaTheme="minorEastAsia"/>
          <w:color w:val="auto"/>
          <w:sz w:val="24"/>
          <w:szCs w:val="24"/>
          <w:highlight w:val="none"/>
        </w:rPr>
        <w:t>标准扣除乙方的违约金。</w:t>
      </w:r>
    </w:p>
    <w:p w14:paraId="2CE8B01A">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 乙方在施工期间如果在各种报表及检查试验记录中自己作假或诱导监理人作假，一经查实，甲方将按每次10000元的标准扣除乙方的违约金。</w:t>
      </w:r>
    </w:p>
    <w:p w14:paraId="2B8040A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 乙方应无条件接受上级交通主管部门、质量监督部门、甲方监理单位的质量检查或抽查，如发现乙方出现降低施工标准或偷工减料或出现较大质量问题，甲方将按每次</w:t>
      </w:r>
      <w:r>
        <w:rPr>
          <w:rFonts w:hint="eastAsia" w:cs="宋体" w:asciiTheme="minorEastAsia" w:hAnsiTheme="minorEastAsia" w:eastAsiaTheme="minorEastAsia"/>
          <w:bCs/>
          <w:color w:val="auto"/>
          <w:sz w:val="24"/>
          <w:szCs w:val="24"/>
          <w:highlight w:val="none"/>
        </w:rPr>
        <w:t>10000元</w:t>
      </w:r>
      <w:r>
        <w:rPr>
          <w:rFonts w:hint="eastAsia" w:cs="宋体" w:asciiTheme="minorEastAsia" w:hAnsiTheme="minorEastAsia" w:eastAsiaTheme="minorEastAsia"/>
          <w:color w:val="auto"/>
          <w:sz w:val="24"/>
          <w:szCs w:val="24"/>
          <w:highlight w:val="none"/>
        </w:rPr>
        <w:t>的标准扣除乙方的违约金。</w:t>
      </w:r>
    </w:p>
    <w:p w14:paraId="281C801E">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(9) 乙方在施工期间未能做好环境保护工作，使得周边环境遭到破坏或污染，经监理人认可后，每次按照</w:t>
      </w:r>
      <w:r>
        <w:rPr>
          <w:rFonts w:hint="eastAsia" w:cs="宋体" w:asciiTheme="minorEastAsia" w:hAnsiTheme="minorEastAsia" w:eastAsiaTheme="minorEastAsia"/>
          <w:bCs/>
          <w:color w:val="auto"/>
          <w:sz w:val="24"/>
          <w:szCs w:val="24"/>
          <w:highlight w:val="none"/>
        </w:rPr>
        <w:t>10000元/次</w:t>
      </w:r>
      <w:r>
        <w:rPr>
          <w:rFonts w:hint="eastAsia" w:cs="宋体" w:asciiTheme="minorEastAsia" w:hAnsiTheme="minorEastAsia" w:eastAsiaTheme="minorEastAsia"/>
          <w:color w:val="auto"/>
          <w:sz w:val="24"/>
          <w:szCs w:val="24"/>
          <w:highlight w:val="none"/>
        </w:rPr>
        <w:t>的标准扣除乙方的违约金。</w:t>
      </w:r>
    </w:p>
    <w:p w14:paraId="3C298505">
      <w:pPr>
        <w:widowControl w:val="0"/>
        <w:tabs>
          <w:tab w:val="left" w:pos="48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补充25 廉政建设</w:t>
      </w:r>
    </w:p>
    <w:p w14:paraId="22CADDD8">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在合同实施期间，甲方和乙方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45398637">
      <w:pPr>
        <w:widowControl w:val="0"/>
        <w:tabs>
          <w:tab w:val="left" w:pos="144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补充26 项目经理部驻地要求</w:t>
      </w:r>
    </w:p>
    <w:p w14:paraId="1AAE3854">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乙方驻地建设需经过甲方的验收，对验收不合格的乙方驻地，甲方有权要求乙方限期予以整改，乙方应无条件予以服从。</w:t>
      </w:r>
    </w:p>
    <w:p w14:paraId="7687A9B4">
      <w:pPr>
        <w:widowControl w:val="0"/>
        <w:tabs>
          <w:tab w:val="left" w:pos="195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补充27 其他</w:t>
      </w:r>
      <w:r>
        <w:rPr>
          <w:rFonts w:hint="eastAsia" w:cs="宋体" w:asciiTheme="minorEastAsia" w:hAnsiTheme="minorEastAsia" w:eastAsiaTheme="minorEastAsia"/>
          <w:color w:val="auto"/>
          <w:sz w:val="24"/>
          <w:szCs w:val="24"/>
          <w:highlight w:val="none"/>
        </w:rPr>
        <w:tab/>
      </w:r>
    </w:p>
    <w:p w14:paraId="76C0E8F5">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27.1  工程项目部管理人员必须严格按招投标文件要求及时配备到位。所有人员有持证要求的必须持证上岗，在项目负责人的统一领导下，尽心尽职地做好本职工作。如不能胜任工作的，甲方将有权建议更换，直到更换至能胜任现场管理工作为止。</w:t>
      </w:r>
    </w:p>
    <w:p w14:paraId="4A566BCC">
      <w:pPr>
        <w:widowControl w:val="0"/>
        <w:spacing w:line="480" w:lineRule="exact"/>
        <w:ind w:firstLine="480"/>
        <w:jc w:val="both"/>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sz w:val="24"/>
          <w:szCs w:val="24"/>
          <w:highlight w:val="none"/>
        </w:rPr>
        <w:t xml:space="preserve">27.2  </w:t>
      </w:r>
      <w:r>
        <w:rPr>
          <w:rFonts w:hint="eastAsia" w:cs="宋体" w:asciiTheme="minorEastAsia" w:hAnsiTheme="minorEastAsia" w:eastAsiaTheme="minorEastAsia"/>
          <w:b/>
          <w:color w:val="auto"/>
          <w:sz w:val="24"/>
          <w:szCs w:val="24"/>
          <w:highlight w:val="none"/>
        </w:rPr>
        <w:t>本工程施工过程中遇到的地方矛盾、路政、交警等部门及由此发生的费用由乙方自行自行负责，乙方应充分考虑施工对周边房屋、道路、绿化、路灯、电信、电力设施等地上建筑物、构筑物损坏赔偿以及地下各种管线损坏赔偿等的影响，及一切由此引起的矛盾和赔偿均由乙方自行处理，与甲方无涉，乙方同时</w:t>
      </w:r>
      <w:r>
        <w:rPr>
          <w:rFonts w:hint="eastAsia" w:cs="宋体" w:asciiTheme="minorEastAsia" w:hAnsiTheme="minorEastAsia" w:eastAsiaTheme="minorEastAsia"/>
          <w:b/>
          <w:color w:val="auto"/>
          <w:sz w:val="24"/>
          <w:szCs w:val="24"/>
          <w:highlight w:val="none"/>
          <w:lang w:val="en-US" w:eastAsia="zh-CN"/>
        </w:rPr>
        <w:t>应</w:t>
      </w:r>
      <w:r>
        <w:rPr>
          <w:rFonts w:hint="eastAsia" w:cs="宋体" w:asciiTheme="minorEastAsia" w:hAnsiTheme="minorEastAsia" w:eastAsiaTheme="minorEastAsia"/>
          <w:b/>
          <w:color w:val="auto"/>
          <w:sz w:val="24"/>
          <w:szCs w:val="24"/>
          <w:highlight w:val="none"/>
        </w:rPr>
        <w:t>充分考虑对各种设施（含苗木、路灯、电信、电力</w:t>
      </w:r>
      <w:r>
        <w:rPr>
          <w:rFonts w:hint="eastAsia" w:cs="宋体" w:asciiTheme="minorEastAsia" w:hAnsiTheme="minorEastAsia" w:eastAsiaTheme="minorEastAsia"/>
          <w:b/>
          <w:color w:val="auto"/>
          <w:sz w:val="24"/>
          <w:szCs w:val="24"/>
          <w:highlight w:val="none"/>
          <w:lang w:eastAsia="zh-CN"/>
        </w:rPr>
        <w:t>、</w:t>
      </w:r>
      <w:r>
        <w:rPr>
          <w:rFonts w:hint="eastAsia" w:cs="宋体" w:asciiTheme="minorEastAsia" w:hAnsiTheme="minorEastAsia" w:eastAsiaTheme="minorEastAsia"/>
          <w:b/>
          <w:color w:val="auto"/>
          <w:sz w:val="24"/>
          <w:szCs w:val="24"/>
          <w:highlight w:val="none"/>
          <w:lang w:val="en-US" w:eastAsia="zh-CN"/>
        </w:rPr>
        <w:t>垃圾清运</w:t>
      </w:r>
      <w:r>
        <w:rPr>
          <w:rFonts w:hint="eastAsia" w:cs="宋体" w:asciiTheme="minorEastAsia" w:hAnsiTheme="minorEastAsia" w:eastAsiaTheme="minorEastAsia"/>
          <w:b/>
          <w:color w:val="auto"/>
          <w:sz w:val="24"/>
          <w:szCs w:val="24"/>
          <w:highlight w:val="none"/>
        </w:rPr>
        <w:t>等）及相关单位（如学校等）、</w:t>
      </w:r>
      <w:r>
        <w:rPr>
          <w:rFonts w:hint="eastAsia" w:cs="宋体" w:asciiTheme="minorEastAsia" w:hAnsiTheme="minorEastAsia" w:eastAsiaTheme="minorEastAsia"/>
          <w:b/>
          <w:color w:val="auto"/>
          <w:sz w:val="24"/>
          <w:szCs w:val="24"/>
          <w:highlight w:val="none"/>
          <w:lang w:val="en-US" w:eastAsia="zh-CN"/>
        </w:rPr>
        <w:t>村民</w:t>
      </w:r>
      <w:r>
        <w:rPr>
          <w:rFonts w:hint="eastAsia" w:cs="宋体" w:asciiTheme="minorEastAsia" w:hAnsiTheme="minorEastAsia" w:eastAsiaTheme="minorEastAsia"/>
          <w:b/>
          <w:color w:val="auto"/>
          <w:sz w:val="24"/>
          <w:szCs w:val="24"/>
          <w:highlight w:val="none"/>
        </w:rPr>
        <w:t>矛盾协调的复杂性</w:t>
      </w:r>
      <w:r>
        <w:rPr>
          <w:rFonts w:hint="eastAsia" w:cs="宋体" w:asciiTheme="minorEastAsia" w:hAnsiTheme="minorEastAsia" w:eastAsiaTheme="minorEastAsia"/>
          <w:b/>
          <w:color w:val="auto"/>
          <w:sz w:val="24"/>
          <w:szCs w:val="24"/>
          <w:highlight w:val="none"/>
          <w:lang w:val="en-US" w:eastAsia="zh-CN"/>
        </w:rPr>
        <w:t>及安装板梁充分考虑桥梁两侧高压线、低压线，并且利用导梁板安装板梁，充分考虑板梁运输途中对原有路面的损坏，</w:t>
      </w:r>
      <w:r>
        <w:rPr>
          <w:rFonts w:hint="eastAsia" w:cs="宋体" w:asciiTheme="minorEastAsia" w:hAnsiTheme="minorEastAsia" w:eastAsiaTheme="minorEastAsia"/>
          <w:b/>
          <w:color w:val="auto"/>
          <w:sz w:val="24"/>
          <w:szCs w:val="24"/>
          <w:highlight w:val="none"/>
        </w:rPr>
        <w:t>并在投标报价中综合考虑其相应费用。</w:t>
      </w:r>
    </w:p>
    <w:p w14:paraId="3F05C2CD">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27.3  工程价款一律通过银行非现金结算。 </w:t>
      </w:r>
    </w:p>
    <w:p w14:paraId="704A1F8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27.4  </w:t>
      </w:r>
      <w:r>
        <w:rPr>
          <w:rFonts w:hint="eastAsia" w:cs="宋体" w:asciiTheme="minorEastAsia" w:hAnsiTheme="minorEastAsia" w:eastAsiaTheme="minorEastAsia"/>
          <w:b/>
          <w:color w:val="auto"/>
          <w:sz w:val="24"/>
          <w:szCs w:val="24"/>
          <w:highlight w:val="none"/>
        </w:rPr>
        <w:t>甲方将在本项目全面推行农民工实名制、农民工工资保证金、农民工工资专用账户、 农民工工资支付违法行为信用惩戒、农民工劳动合同规范文本(盐治欠办发〔2022〕14 号)等制度，乙方必须根据国家、省、市、县相关文件要求，认真执行上述制度，切实保障农民工劳动报酬权益。</w:t>
      </w:r>
      <w:r>
        <w:rPr>
          <w:rFonts w:hint="eastAsia" w:cs="宋体" w:asciiTheme="minorEastAsia" w:hAnsiTheme="minorEastAsia" w:eastAsiaTheme="minorEastAsia"/>
          <w:color w:val="auto"/>
          <w:sz w:val="24"/>
          <w:szCs w:val="24"/>
          <w:highlight w:val="none"/>
        </w:rPr>
        <w:t>乙方必须保证农民工工资及时发放到位，不得截留和拖欠。若甲方发现一次乙方因农民工工资未及时发放而造成矛盾，甲方有权扣除乙方应得工程款而直接用于发放，并扣乙方拖欠发放额的30％作为违约金。</w:t>
      </w:r>
    </w:p>
    <w:p w14:paraId="4635294C">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27.5</w:t>
      </w:r>
      <w:r>
        <w:rPr>
          <w:rFonts w:hint="eastAsia" w:cs="宋体" w:asciiTheme="minorEastAsia" w:hAnsiTheme="minorEastAsia" w:eastAsiaTheme="minorEastAsia"/>
          <w:b/>
          <w:color w:val="auto"/>
          <w:sz w:val="24"/>
          <w:szCs w:val="24"/>
          <w:highlight w:val="none"/>
        </w:rPr>
        <w:t>项目实施过程中全部人员均须参加工伤保险，具体标准参照</w:t>
      </w:r>
      <w:r>
        <w:rPr>
          <w:rFonts w:hint="eastAsia" w:ascii="宋体" w:hAnsi="宋体" w:eastAsia="宋体" w:cs="宋体"/>
          <w:b/>
          <w:sz w:val="24"/>
          <w:szCs w:val="24"/>
          <w:highlight w:val="none"/>
          <w:lang w:val="en-US" w:eastAsia="zh-CN"/>
        </w:rPr>
        <w:t>《盐城市人民政府办公室转发市人社局等部门关于盐城市建筑施工企业务工人员参加工伤保险实施办法的通知》（盐政办发〔</w:t>
      </w:r>
      <w:r>
        <w:rPr>
          <w:rFonts w:hint="default" w:ascii="宋体" w:hAnsi="宋体" w:eastAsia="宋体" w:cs="宋体"/>
          <w:b/>
          <w:sz w:val="24"/>
          <w:szCs w:val="24"/>
          <w:highlight w:val="none"/>
          <w:lang w:val="en-US" w:eastAsia="zh-CN"/>
        </w:rPr>
        <w:t>2015</w:t>
      </w:r>
      <w:r>
        <w:rPr>
          <w:rFonts w:hint="eastAsia" w:ascii="宋体" w:hAnsi="宋体" w:eastAsia="宋体" w:cs="宋体"/>
          <w:b/>
          <w:sz w:val="24"/>
          <w:szCs w:val="24"/>
          <w:highlight w:val="none"/>
          <w:lang w:val="en-US" w:eastAsia="zh-CN"/>
        </w:rPr>
        <w:t>〕</w:t>
      </w:r>
      <w:r>
        <w:rPr>
          <w:rFonts w:hint="default" w:ascii="宋体" w:hAnsi="宋体" w:eastAsia="宋体" w:cs="宋体"/>
          <w:b/>
          <w:sz w:val="24"/>
          <w:szCs w:val="24"/>
          <w:highlight w:val="none"/>
          <w:lang w:val="en-US" w:eastAsia="zh-CN"/>
        </w:rPr>
        <w:t xml:space="preserve">68 </w:t>
      </w:r>
      <w:r>
        <w:rPr>
          <w:rFonts w:hint="eastAsia" w:ascii="宋体" w:hAnsi="宋体" w:eastAsia="宋体" w:cs="宋体"/>
          <w:b/>
          <w:sz w:val="24"/>
          <w:szCs w:val="24"/>
          <w:highlight w:val="none"/>
          <w:lang w:val="en-US" w:eastAsia="zh-CN"/>
        </w:rPr>
        <w:t>号）和《转发人力资源社会保障部等部门关于铁路公路水运水利能源机场工程建设项目参加工伤保险工作的通知》（盐人社发〔</w:t>
      </w:r>
      <w:r>
        <w:rPr>
          <w:rFonts w:hint="default" w:ascii="宋体" w:hAnsi="宋体" w:eastAsia="宋体" w:cs="宋体"/>
          <w:b/>
          <w:sz w:val="24"/>
          <w:szCs w:val="24"/>
          <w:highlight w:val="none"/>
          <w:lang w:val="en-US" w:eastAsia="zh-CN"/>
        </w:rPr>
        <w:t>2018</w:t>
      </w:r>
      <w:r>
        <w:rPr>
          <w:rFonts w:hint="eastAsia" w:ascii="宋体" w:hAnsi="宋体" w:eastAsia="宋体" w:cs="宋体"/>
          <w:b/>
          <w:sz w:val="24"/>
          <w:szCs w:val="24"/>
          <w:highlight w:val="none"/>
          <w:lang w:val="en-US" w:eastAsia="zh-CN"/>
        </w:rPr>
        <w:t>〕</w:t>
      </w:r>
      <w:r>
        <w:rPr>
          <w:rFonts w:hint="default" w:ascii="宋体" w:hAnsi="宋体" w:eastAsia="宋体" w:cs="宋体"/>
          <w:b/>
          <w:sz w:val="24"/>
          <w:szCs w:val="24"/>
          <w:highlight w:val="none"/>
          <w:lang w:val="en-US" w:eastAsia="zh-CN"/>
        </w:rPr>
        <w:t xml:space="preserve">179 </w:t>
      </w:r>
      <w:r>
        <w:rPr>
          <w:rFonts w:hint="eastAsia" w:ascii="宋体" w:hAnsi="宋体" w:eastAsia="宋体" w:cs="宋体"/>
          <w:b/>
          <w:sz w:val="24"/>
          <w:szCs w:val="24"/>
          <w:highlight w:val="none"/>
          <w:lang w:val="en-US" w:eastAsia="zh-CN"/>
        </w:rPr>
        <w:t>号）规定缴纳工伤保险）执行</w:t>
      </w:r>
      <w:r>
        <w:rPr>
          <w:rFonts w:hint="eastAsia" w:cs="宋体" w:asciiTheme="minorEastAsia" w:hAnsiTheme="minorEastAsia" w:eastAsiaTheme="minorEastAsia"/>
          <w:b/>
          <w:color w:val="auto"/>
          <w:sz w:val="24"/>
          <w:szCs w:val="24"/>
          <w:highlight w:val="none"/>
        </w:rPr>
        <w:t>，如有最新规定，则按新规定执行。</w:t>
      </w:r>
    </w:p>
    <w:p w14:paraId="58D0828E">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27.6 </w:t>
      </w:r>
      <w:r>
        <w:rPr>
          <w:rFonts w:hint="eastAsia" w:cs="宋体" w:asciiTheme="minorEastAsia" w:hAnsiTheme="minorEastAsia" w:eastAsiaTheme="minorEastAsia"/>
          <w:b/>
          <w:color w:val="auto"/>
          <w:sz w:val="24"/>
          <w:szCs w:val="24"/>
          <w:highlight w:val="none"/>
        </w:rPr>
        <w:t>乙方自行承担工程施工过程中的工程质量、任何状况下的安全责任。非甲方原因，发生的一切问题和责任与甲方无关，相关一切费用或民事、刑事责任均由乙方自理。若乙方不能及时处理所发生的问题和责任，并且影响到工程进度时，甲方有权处理相关事务，所发生的费用在支付工程款时扣除。</w:t>
      </w:r>
    </w:p>
    <w:p w14:paraId="557EED32">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27.7  在本合同履行过程中，如乙方发生如下情形之一，甲方将视乙方严重违约，立即解除合同，冻结专户资金，乙方承担违约责任并承担由此造成的一切损失，乙方在现场的人员无条件退场，乙方在现场的设备和材料无条件供甲方使用，其设备租金和材料价值待仲裁机构裁定后，如有剩余，在仲裁生效后7天内支付。</w:t>
      </w:r>
    </w:p>
    <w:p w14:paraId="52454099">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①不同意本工程合同条件；</w:t>
      </w:r>
    </w:p>
    <w:p w14:paraId="1AAB3E3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②停工或拖延施工进度或影响施工质量；</w:t>
      </w:r>
    </w:p>
    <w:p w14:paraId="52B0FB2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③无正当理由，单方面要挟甲方提高合同价款；</w:t>
      </w:r>
    </w:p>
    <w:p w14:paraId="3554DB66">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④无正当理由，单方面要挟甲方给予某种补偿。</w:t>
      </w:r>
    </w:p>
    <w:p w14:paraId="3769B3A0">
      <w:pPr>
        <w:widowControl w:val="0"/>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27.8 未尽事宜按照公路示范合同有关规定内容确定。</w:t>
      </w:r>
    </w:p>
    <w:p w14:paraId="18E18982">
      <w:pPr>
        <w:widowControl w:val="0"/>
        <w:tabs>
          <w:tab w:val="left" w:pos="1950"/>
        </w:tabs>
        <w:spacing w:line="480" w:lineRule="exact"/>
        <w:ind w:firstLine="480"/>
        <w:jc w:val="both"/>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28  合同生效</w:t>
      </w:r>
    </w:p>
    <w:p w14:paraId="18880361">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合同订立时间：    年    月    日</w:t>
      </w:r>
    </w:p>
    <w:p w14:paraId="53D4EC9C">
      <w:pPr>
        <w:widowControl w:val="0"/>
        <w:spacing w:line="480" w:lineRule="exact"/>
        <w:ind w:firstLine="480"/>
        <w:jc w:val="both"/>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备注：本合同由合同双方签字盖章后生效。</w:t>
      </w:r>
    </w:p>
    <w:p w14:paraId="2C933680">
      <w:pPr>
        <w:widowControl w:val="0"/>
        <w:spacing w:line="480" w:lineRule="exact"/>
        <w:ind w:firstLine="480"/>
        <w:jc w:val="both"/>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本</w:t>
      </w:r>
      <w:r>
        <w:rPr>
          <w:rFonts w:hint="eastAsia" w:cs="宋体" w:asciiTheme="minorEastAsia" w:hAnsiTheme="minorEastAsia" w:eastAsiaTheme="minorEastAsia"/>
          <w:color w:val="auto"/>
          <w:sz w:val="24"/>
          <w:szCs w:val="24"/>
          <w:highlight w:val="none"/>
          <w:lang w:val="en-US" w:eastAsia="zh-CN"/>
        </w:rPr>
        <w:t>协议书</w:t>
      </w:r>
      <w:r>
        <w:rPr>
          <w:rFonts w:hint="eastAsia" w:cs="宋体" w:asciiTheme="minorEastAsia" w:hAnsiTheme="minorEastAsia" w:eastAsiaTheme="minorEastAsia"/>
          <w:color w:val="auto"/>
          <w:sz w:val="24"/>
          <w:szCs w:val="24"/>
          <w:highlight w:val="none"/>
        </w:rPr>
        <w:t xml:space="preserve">一式 </w:t>
      </w:r>
      <w:r>
        <w:rPr>
          <w:rFonts w:hint="eastAsia" w:cs="宋体" w:asciiTheme="minorEastAsia" w:hAnsiTheme="minorEastAsia" w:eastAsiaTheme="minorEastAsia"/>
          <w:color w:val="auto"/>
          <w:sz w:val="24"/>
          <w:szCs w:val="24"/>
          <w:highlight w:val="none"/>
          <w:lang w:val="en-US" w:eastAsia="zh-CN"/>
        </w:rPr>
        <w:t>陆</w:t>
      </w:r>
      <w:r>
        <w:rPr>
          <w:rFonts w:hint="eastAsia" w:cs="宋体" w:asciiTheme="minorEastAsia" w:hAnsiTheme="minorEastAsia" w:eastAsiaTheme="minorEastAsia"/>
          <w:color w:val="auto"/>
          <w:sz w:val="24"/>
          <w:szCs w:val="24"/>
          <w:highlight w:val="none"/>
        </w:rPr>
        <w:t xml:space="preserve"> 份，均具有同等法律效力，</w:t>
      </w:r>
      <w:r>
        <w:rPr>
          <w:rFonts w:hint="eastAsia" w:cs="宋体" w:asciiTheme="minorEastAsia" w:hAnsiTheme="minorEastAsia" w:eastAsiaTheme="minorEastAsia"/>
          <w:color w:val="auto"/>
          <w:sz w:val="24"/>
          <w:szCs w:val="24"/>
          <w:highlight w:val="none"/>
          <w:lang w:val="en-US" w:eastAsia="zh-CN"/>
        </w:rPr>
        <w:t>甲方</w:t>
      </w:r>
      <w:r>
        <w:rPr>
          <w:rFonts w:hint="eastAsia" w:cs="宋体" w:asciiTheme="minorEastAsia" w:hAnsiTheme="minorEastAsia" w:eastAsiaTheme="minorEastAsia"/>
          <w:color w:val="auto"/>
          <w:sz w:val="24"/>
          <w:szCs w:val="24"/>
          <w:highlight w:val="none"/>
        </w:rPr>
        <w:t xml:space="preserve">执 </w:t>
      </w:r>
      <w:r>
        <w:rPr>
          <w:rFonts w:hint="eastAsia" w:cs="宋体" w:asciiTheme="minorEastAsia" w:hAnsiTheme="minorEastAsia" w:eastAsiaTheme="minorEastAsia"/>
          <w:color w:val="auto"/>
          <w:sz w:val="24"/>
          <w:szCs w:val="24"/>
          <w:highlight w:val="none"/>
          <w:lang w:val="en-US" w:eastAsia="zh-CN"/>
        </w:rPr>
        <w:t>肆</w:t>
      </w:r>
      <w:r>
        <w:rPr>
          <w:rFonts w:hint="eastAsia" w:cs="宋体" w:asciiTheme="minorEastAsia" w:hAnsiTheme="minorEastAsia" w:eastAsiaTheme="minorEastAsia"/>
          <w:color w:val="auto"/>
          <w:sz w:val="24"/>
          <w:szCs w:val="24"/>
          <w:highlight w:val="none"/>
        </w:rPr>
        <w:t xml:space="preserve"> 份，</w:t>
      </w:r>
      <w:r>
        <w:rPr>
          <w:rFonts w:hint="eastAsia" w:cs="宋体" w:asciiTheme="minorEastAsia" w:hAnsiTheme="minorEastAsia" w:eastAsiaTheme="minorEastAsia"/>
          <w:color w:val="auto"/>
          <w:sz w:val="24"/>
          <w:szCs w:val="24"/>
          <w:highlight w:val="none"/>
          <w:lang w:val="en-US" w:eastAsia="zh-CN"/>
        </w:rPr>
        <w:t>乙方</w:t>
      </w:r>
      <w:r>
        <w:rPr>
          <w:rFonts w:hint="eastAsia" w:cs="宋体" w:asciiTheme="minorEastAsia" w:hAnsiTheme="minorEastAsia" w:eastAsiaTheme="minorEastAsia"/>
          <w:color w:val="auto"/>
          <w:sz w:val="24"/>
          <w:szCs w:val="24"/>
          <w:highlight w:val="none"/>
        </w:rPr>
        <w:t xml:space="preserve">执 </w:t>
      </w:r>
      <w:r>
        <w:rPr>
          <w:rFonts w:hint="eastAsia" w:cs="宋体" w:asciiTheme="minorEastAsia" w:hAnsiTheme="minorEastAsia" w:eastAsiaTheme="minorEastAsia"/>
          <w:color w:val="auto"/>
          <w:sz w:val="24"/>
          <w:szCs w:val="24"/>
          <w:highlight w:val="none"/>
          <w:lang w:val="en-US" w:eastAsia="zh-CN"/>
        </w:rPr>
        <w:t>贰</w:t>
      </w:r>
      <w:r>
        <w:rPr>
          <w:rFonts w:hint="eastAsia" w:cs="宋体" w:asciiTheme="minorEastAsia" w:hAnsiTheme="minorEastAsia" w:eastAsiaTheme="minorEastAsia"/>
          <w:color w:val="auto"/>
          <w:sz w:val="24"/>
          <w:szCs w:val="24"/>
          <w:highlight w:val="none"/>
        </w:rPr>
        <w:t xml:space="preserve"> 份。</w:t>
      </w:r>
    </w:p>
    <w:p w14:paraId="2EC1E7C1">
      <w:pPr>
        <w:spacing w:line="440" w:lineRule="exact"/>
        <w:ind w:firstLine="480" w:firstLineChars="200"/>
        <w:rPr>
          <w:rFonts w:hint="eastAsia" w:ascii="宋体" w:hAnsi="宋体" w:cs="宋体"/>
          <w:color w:val="auto"/>
          <w:sz w:val="24"/>
          <w:szCs w:val="24"/>
          <w:highlight w:val="none"/>
        </w:rPr>
      </w:pPr>
    </w:p>
    <w:p w14:paraId="56ECE003">
      <w:pPr>
        <w:spacing w:line="440" w:lineRule="exact"/>
        <w:ind w:firstLine="480" w:firstLineChars="200"/>
        <w:rPr>
          <w:rFonts w:hint="eastAsia" w:ascii="宋体" w:hAnsi="宋体" w:cs="宋体"/>
          <w:color w:val="auto"/>
          <w:sz w:val="24"/>
          <w:szCs w:val="24"/>
          <w:highlight w:val="none"/>
        </w:rPr>
      </w:pPr>
    </w:p>
    <w:p w14:paraId="1D3AC44C">
      <w:pPr>
        <w:spacing w:line="440" w:lineRule="exact"/>
        <w:ind w:firstLine="480" w:firstLineChars="200"/>
        <w:rPr>
          <w:rFonts w:hint="eastAsia" w:ascii="宋体" w:hAnsi="宋体" w:cs="宋体"/>
          <w:color w:val="auto"/>
          <w:sz w:val="24"/>
          <w:szCs w:val="24"/>
          <w:highlight w:val="none"/>
        </w:rPr>
      </w:pPr>
    </w:p>
    <w:p w14:paraId="6B56A8CB">
      <w:pPr>
        <w:spacing w:line="440" w:lineRule="exact"/>
        <w:ind w:firstLine="480" w:firstLineChars="200"/>
        <w:rPr>
          <w:rFonts w:hint="eastAsia" w:ascii="宋体" w:hAnsi="宋体" w:cs="宋体"/>
          <w:color w:val="auto"/>
          <w:sz w:val="24"/>
          <w:szCs w:val="24"/>
          <w:highlight w:val="none"/>
        </w:rPr>
      </w:pPr>
    </w:p>
    <w:p w14:paraId="720E8749">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 乙方：（盖章） </w:t>
      </w:r>
    </w:p>
    <w:p w14:paraId="779D3960">
      <w:pPr>
        <w:spacing w:line="440" w:lineRule="exact"/>
        <w:ind w:firstLine="480" w:firstLineChars="200"/>
        <w:rPr>
          <w:rFonts w:hint="eastAsia" w:ascii="宋体" w:hAnsi="宋体" w:cs="宋体"/>
          <w:color w:val="auto"/>
          <w:sz w:val="24"/>
          <w:szCs w:val="24"/>
          <w:highlight w:val="none"/>
        </w:rPr>
      </w:pPr>
    </w:p>
    <w:p w14:paraId="5A708FC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76A30074">
      <w:pPr>
        <w:widowControl w:val="0"/>
        <w:spacing w:line="48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69EE3F5F">
      <w:pPr>
        <w:widowControl w:val="0"/>
        <w:spacing w:before="100" w:beforeAutospacing="1" w:after="100" w:afterAutospacing="1" w:line="480" w:lineRule="exact"/>
        <w:ind w:firstLine="480" w:firstLineChars="200"/>
        <w:jc w:val="both"/>
        <w:outlineLvl w:val="1"/>
        <w:rPr>
          <w:rFonts w:hint="eastAsia" w:ascii="宋体" w:hAnsi="宋体" w:cs="宋体"/>
          <w:color w:val="auto"/>
          <w:sz w:val="24"/>
          <w:szCs w:val="24"/>
          <w:highlight w:val="none"/>
        </w:rPr>
      </w:pPr>
      <w:r>
        <w:rPr>
          <w:rFonts w:hint="eastAsia" w:ascii="宋体" w:hAnsi="宋体" w:cs="宋体"/>
          <w:color w:val="auto"/>
          <w:sz w:val="24"/>
          <w:szCs w:val="24"/>
          <w:highlight w:val="none"/>
        </w:rPr>
        <w:t>签订日期：      年   月   日</w:t>
      </w:r>
    </w:p>
    <w:p w14:paraId="3DF03980">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59E18E2A">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67B72A33">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39465F7D">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6DCC8E63">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21249874">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351DFB9D">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5F50FEA1">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7140C610">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05E74ABE">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2DF0B81E">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6181620E">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2BC0AD77">
      <w:pPr>
        <w:widowControl w:val="0"/>
        <w:spacing w:before="100" w:beforeAutospacing="1" w:after="100" w:afterAutospacing="1" w:line="480" w:lineRule="exact"/>
        <w:jc w:val="center"/>
        <w:outlineLvl w:val="1"/>
        <w:rPr>
          <w:rFonts w:hint="eastAsia" w:ascii="宋体" w:hAnsi="宋体" w:cs="宋体"/>
          <w:color w:val="auto"/>
          <w:sz w:val="24"/>
          <w:szCs w:val="24"/>
          <w:highlight w:val="none"/>
        </w:rPr>
      </w:pPr>
    </w:p>
    <w:p w14:paraId="51711FFD">
      <w:pPr>
        <w:widowControl w:val="0"/>
        <w:spacing w:before="100" w:beforeAutospacing="1" w:after="100" w:afterAutospacing="1" w:line="480" w:lineRule="exact"/>
        <w:jc w:val="both"/>
        <w:outlineLvl w:val="1"/>
        <w:rPr>
          <w:rFonts w:hint="eastAsia" w:ascii="宋体" w:hAnsi="宋体" w:cs="宋体"/>
          <w:color w:val="auto"/>
          <w:sz w:val="24"/>
          <w:szCs w:val="24"/>
          <w:highlight w:val="none"/>
        </w:rPr>
      </w:pPr>
    </w:p>
    <w:p w14:paraId="54E45349">
      <w:pPr>
        <w:widowControl w:val="0"/>
        <w:spacing w:before="100" w:beforeAutospacing="1" w:after="100" w:afterAutospacing="1" w:line="480" w:lineRule="exact"/>
        <w:jc w:val="center"/>
        <w:outlineLvl w:val="1"/>
        <w:rPr>
          <w:rFonts w:hint="eastAsia" w:ascii="宋体" w:hAnsi="宋体" w:cs="Calibri"/>
          <w:b/>
          <w:bCs/>
          <w:color w:val="auto"/>
          <w:sz w:val="30"/>
          <w:szCs w:val="30"/>
          <w:highlight w:val="none"/>
        </w:rPr>
      </w:pPr>
    </w:p>
    <w:p w14:paraId="4AC7A167">
      <w:pPr>
        <w:widowControl w:val="0"/>
        <w:spacing w:before="100" w:beforeAutospacing="1" w:after="100" w:afterAutospacing="1" w:line="480" w:lineRule="exact"/>
        <w:jc w:val="center"/>
        <w:outlineLvl w:val="1"/>
        <w:rPr>
          <w:rFonts w:ascii="宋体" w:hAnsi="宋体" w:cs="Calibri"/>
          <w:b/>
          <w:bCs/>
          <w:color w:val="auto"/>
          <w:sz w:val="30"/>
          <w:szCs w:val="30"/>
          <w:highlight w:val="none"/>
        </w:rPr>
      </w:pPr>
      <w:r>
        <w:rPr>
          <w:rFonts w:hint="eastAsia" w:ascii="宋体" w:hAnsi="宋体" w:cs="Calibri"/>
          <w:b/>
          <w:bCs/>
          <w:color w:val="auto"/>
          <w:sz w:val="30"/>
          <w:szCs w:val="30"/>
          <w:highlight w:val="none"/>
        </w:rPr>
        <w:t>工程</w:t>
      </w:r>
      <w:r>
        <w:rPr>
          <w:rFonts w:ascii="宋体" w:hAnsi="宋体" w:cs="Calibri"/>
          <w:b/>
          <w:bCs/>
          <w:color w:val="auto"/>
          <w:sz w:val="30"/>
          <w:szCs w:val="30"/>
          <w:highlight w:val="none"/>
        </w:rPr>
        <w:t>廉政合同</w:t>
      </w:r>
    </w:p>
    <w:p w14:paraId="69220C32">
      <w:pPr>
        <w:widowControl w:val="0"/>
        <w:spacing w:line="480" w:lineRule="exact"/>
        <w:jc w:val="both"/>
        <w:rPr>
          <w:rFonts w:ascii="宋体" w:hAnsi="宋体" w:cs="Calibri"/>
          <w:color w:val="auto"/>
          <w:sz w:val="24"/>
          <w:szCs w:val="21"/>
          <w:highlight w:val="none"/>
        </w:rPr>
      </w:pPr>
      <w:r>
        <w:rPr>
          <w:rFonts w:hint="eastAsia" w:ascii="宋体" w:hAnsi="宋体" w:cs="Calibri"/>
          <w:color w:val="auto"/>
          <w:sz w:val="24"/>
          <w:szCs w:val="21"/>
          <w:highlight w:val="none"/>
        </w:rPr>
        <w:t>发包人</w:t>
      </w:r>
      <w:r>
        <w:rPr>
          <w:rFonts w:ascii="宋体" w:hAnsi="宋体" w:cs="Calibri"/>
          <w:color w:val="auto"/>
          <w:sz w:val="24"/>
          <w:szCs w:val="21"/>
          <w:highlight w:val="none"/>
        </w:rPr>
        <w:t>：</w:t>
      </w:r>
      <w:r>
        <w:rPr>
          <w:rFonts w:hint="eastAsia" w:ascii="宋体" w:hAnsi="宋体" w:cs="Calibri"/>
          <w:color w:val="auto"/>
          <w:sz w:val="24"/>
          <w:szCs w:val="21"/>
          <w:highlight w:val="none"/>
          <w:u w:val="single"/>
          <w:lang w:eastAsia="zh-CN"/>
        </w:rPr>
        <w:t>盐城市亭湖区盐东镇人民政府</w:t>
      </w:r>
    </w:p>
    <w:p w14:paraId="36B0823E">
      <w:pPr>
        <w:widowControl w:val="0"/>
        <w:spacing w:line="480" w:lineRule="exact"/>
        <w:jc w:val="both"/>
        <w:rPr>
          <w:rFonts w:ascii="宋体" w:hAnsi="宋体" w:cs="Calibri"/>
          <w:color w:val="auto"/>
          <w:sz w:val="24"/>
          <w:szCs w:val="21"/>
          <w:highlight w:val="none"/>
        </w:rPr>
      </w:pPr>
      <w:r>
        <w:rPr>
          <w:rFonts w:hint="eastAsia" w:ascii="宋体" w:hAnsi="宋体" w:cs="Calibri"/>
          <w:color w:val="auto"/>
          <w:sz w:val="24"/>
          <w:szCs w:val="21"/>
          <w:highlight w:val="none"/>
        </w:rPr>
        <w:t>承包人</w:t>
      </w:r>
      <w:r>
        <w:rPr>
          <w:rFonts w:ascii="宋体" w:hAnsi="宋体" w:cs="Calibri"/>
          <w:color w:val="auto"/>
          <w:sz w:val="24"/>
          <w:szCs w:val="21"/>
          <w:highlight w:val="none"/>
        </w:rPr>
        <w:t>：</w:t>
      </w:r>
      <w:r>
        <w:rPr>
          <w:rFonts w:hint="eastAsia" w:ascii="宋体" w:hAnsi="宋体" w:cs="Calibri"/>
          <w:color w:val="auto"/>
          <w:sz w:val="24"/>
          <w:szCs w:val="21"/>
          <w:highlight w:val="none"/>
          <w:u w:val="single"/>
        </w:rPr>
        <w:t xml:space="preserve">      （中标人）        </w:t>
      </w:r>
    </w:p>
    <w:p w14:paraId="21E83938">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为贯彻落实党中央、国务院《关于实行党风廉政建设责任制的规定》，进一步加强</w:t>
      </w:r>
      <w:r>
        <w:rPr>
          <w:rFonts w:hint="eastAsia" w:ascii="宋体" w:hAnsi="宋体" w:cs="Calibri"/>
          <w:color w:val="auto"/>
          <w:sz w:val="24"/>
          <w:szCs w:val="21"/>
          <w:highlight w:val="none"/>
        </w:rPr>
        <w:t>公路</w:t>
      </w:r>
      <w:r>
        <w:rPr>
          <w:rFonts w:ascii="宋体" w:hAnsi="宋体" w:cs="Calibri"/>
          <w:color w:val="auto"/>
          <w:sz w:val="24"/>
          <w:szCs w:val="21"/>
          <w:highlight w:val="none"/>
        </w:rPr>
        <w:t>工程建设中的党风廉政建设，保证建设优质、高效、有序地进行，</w:t>
      </w:r>
      <w:r>
        <w:rPr>
          <w:rFonts w:hint="eastAsia" w:ascii="宋体" w:hAnsi="宋体" w:cs="Calibri"/>
          <w:color w:val="auto"/>
          <w:sz w:val="24"/>
          <w:szCs w:val="21"/>
          <w:highlight w:val="none"/>
          <w:u w:val="single"/>
        </w:rPr>
        <w:t xml:space="preserve"> </w:t>
      </w:r>
      <w:r>
        <w:rPr>
          <w:rFonts w:hint="eastAsia" w:ascii="宋体" w:hAnsi="宋体" w:cs="Calibri"/>
          <w:color w:val="auto"/>
          <w:sz w:val="24"/>
          <w:szCs w:val="21"/>
          <w:highlight w:val="none"/>
          <w:u w:val="single"/>
          <w:lang w:eastAsia="zh-CN"/>
        </w:rPr>
        <w:t>盐城市亭湖区盐东镇人民政府</w:t>
      </w:r>
      <w:r>
        <w:rPr>
          <w:rFonts w:ascii="宋体" w:hAnsi="宋体" w:cs="Calibri"/>
          <w:color w:val="auto"/>
          <w:sz w:val="24"/>
          <w:szCs w:val="21"/>
          <w:highlight w:val="none"/>
        </w:rPr>
        <w:t>（以下简称“发包人”），与承担合同的承包人</w:t>
      </w:r>
      <w:r>
        <w:rPr>
          <w:rFonts w:hint="eastAsia" w:ascii="宋体" w:hAnsi="宋体" w:cs="Calibri"/>
          <w:color w:val="auto"/>
          <w:sz w:val="24"/>
          <w:szCs w:val="21"/>
          <w:highlight w:val="none"/>
          <w:u w:val="single"/>
        </w:rPr>
        <w:t xml:space="preserve"> （中标人） </w:t>
      </w:r>
      <w:r>
        <w:rPr>
          <w:rFonts w:ascii="宋体" w:hAnsi="宋体" w:cs="Calibri"/>
          <w:color w:val="auto"/>
          <w:sz w:val="24"/>
          <w:szCs w:val="21"/>
          <w:highlight w:val="none"/>
        </w:rPr>
        <w:t>（以下简称“承包人”），经双方协商一致，自愿签订以下廉政合同。</w:t>
      </w:r>
    </w:p>
    <w:p w14:paraId="01518279">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第一条 甲乙双方的权利和义务</w:t>
      </w:r>
    </w:p>
    <w:p w14:paraId="52BEC4B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（一）严格遵守党和国家有关法规及党风廉政建设各项规定。</w:t>
      </w:r>
    </w:p>
    <w:p w14:paraId="2A20DCA2">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（二）严格执行</w:t>
      </w:r>
      <w:r>
        <w:rPr>
          <w:rFonts w:hint="eastAsia" w:ascii="宋体" w:hAnsi="宋体" w:cs="Calibri"/>
          <w:color w:val="auto"/>
          <w:sz w:val="24"/>
          <w:szCs w:val="21"/>
          <w:highlight w:val="none"/>
          <w:u w:val="single"/>
        </w:rPr>
        <w:t xml:space="preserve"> </w:t>
      </w:r>
      <w:r>
        <w:rPr>
          <w:rFonts w:hint="eastAsia" w:ascii="宋体" w:hAnsi="宋体" w:cs="宋体"/>
          <w:color w:val="000000" w:themeColor="text1"/>
          <w:sz w:val="24"/>
          <w:u w:val="single"/>
          <w:lang w:eastAsia="zh-CN"/>
          <w14:textFill>
            <w14:solidFill>
              <w14:schemeClr w14:val="tx1"/>
            </w14:solidFill>
          </w14:textFill>
        </w:rPr>
        <w:t>盐东镇农村公路中次差路段大中修工程</w:t>
      </w:r>
      <w:r>
        <w:rPr>
          <w:rFonts w:ascii="宋体" w:hAnsi="宋体" w:cs="Calibri"/>
          <w:color w:val="auto"/>
          <w:sz w:val="24"/>
          <w:szCs w:val="21"/>
          <w:highlight w:val="none"/>
        </w:rPr>
        <w:t>（合同名称）各项规定，自觉按合同办事。</w:t>
      </w:r>
    </w:p>
    <w:p w14:paraId="08F0261A">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（三）双方的业务活动坚持公开、公正、公平、诚信的原则（除法律认定的商业秘密和合同文件另有规定之外），严禁损害国家和集体利益，违反工程建设管理规章制度。</w:t>
      </w:r>
    </w:p>
    <w:p w14:paraId="353E52DC">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（四）建立健全党风廉政建设各项制度，开展党风廉政建设宣传教育，加强对本方工作人员的监督检查。</w:t>
      </w:r>
    </w:p>
    <w:p w14:paraId="4646ADC9">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（五）发现对方在业务活动中有违反廉政规定的行为，有及时提醒和督促对方纠正的权利和义务，并严肃查处本方工作人员的违纪违规行为，发现重大违纪违法行为，应向执纪执法机关举报。</w:t>
      </w:r>
    </w:p>
    <w:p w14:paraId="2D7306A9">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第二条 发包人在廉政建设方面的义务</w:t>
      </w:r>
    </w:p>
    <w:p w14:paraId="683D5DBC">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 xml:space="preserve">（一）发包人及其工作人员不准在承包人安插亲友及介绍销售不合规定的工程材料，不得指定需购物资设备的销售单位或部门；不得违反规定干预承包人的工程项目分包；不得挤占、截留、挪用工程款或超进度拨付工程款；严禁私设小金库。 </w:t>
      </w:r>
    </w:p>
    <w:p w14:paraId="28B2A21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（二）发包人及其工作人员不准利用职务之便索要或接受承包人的礼金，有价证券、支付凭证、贵重物品等财物。</w:t>
      </w:r>
    </w:p>
    <w:p w14:paraId="4588FB95">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（三）发包人及其工作人员不准在承包人报销应由发包人或个人支付的费用。</w:t>
      </w:r>
    </w:p>
    <w:p w14:paraId="19022F08">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（四）发包人工作人员不准参加承包人提供的宴请、娱乐活动；不准要求承包人提供交通工具、通讯工具、高档办公用品等。</w:t>
      </w:r>
    </w:p>
    <w:p w14:paraId="120DA9CF">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（五）发包人及其工作人员不准要求或者接受承包人为其住房装修、婚丧嫁娶、配偶、子女、亲友出国（境）旅游提供方便。</w:t>
      </w:r>
    </w:p>
    <w:p w14:paraId="6801F49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（六）发包人及其工作人员不准要求承包人为其配偶、子女及有利害关系的人员安排工作或劳务；不准违反规定从事与承包人施工项目有关的材料设备供应、工程分包等经济活动。</w:t>
      </w:r>
    </w:p>
    <w:p w14:paraId="7F898DA8">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第三条 承包人在廉政建设方面义务</w:t>
      </w:r>
    </w:p>
    <w:p w14:paraId="1D1FA2AF">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（一）承包人不准以任何形式向发包人及其工作人员馈赠礼金、礼品、有价证券、支付凭证、贵重物品等财物；</w:t>
      </w:r>
    </w:p>
    <w:p w14:paraId="68DA06A3">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（二）承包人不准以任何名义为发包人及其工作人员报销应由发包人或个人支付的费用。</w:t>
      </w:r>
    </w:p>
    <w:p w14:paraId="3FBA8079">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（三）承包人不准以任何理由邀请发包人工作人员参加对承建的施工项目有影响的宴请、及娱乐活动；不准为其提供通讯工具、交通工具、高档办公用品等。</w:t>
      </w:r>
    </w:p>
    <w:p w14:paraId="71DB68EB">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（四）承包人不准为发包人工作人员住房装修、婚丧嫁娶、配偶、子女、亲友出国（境）旅游提供方便；不准为发包人工作人员的配偶、子女及有利害关系的人员安排工作或劳务。</w:t>
      </w:r>
    </w:p>
    <w:p w14:paraId="0ED51BA5">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（五）承包人不准违反规定将承建的施工项目违法分包或非法转包。</w:t>
      </w:r>
    </w:p>
    <w:p w14:paraId="419EF666">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（六）承包人及其工作人员不准与该工程的监理人串通，违反工程计量、资金支付、质量验评、竣工验收等有关规定和程序，损害发包人利益，影响工程质量、进度和安全。</w:t>
      </w:r>
    </w:p>
    <w:p w14:paraId="7C30AFF5">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第四条 违约责任</w:t>
      </w:r>
    </w:p>
    <w:p w14:paraId="2FD0F1F4">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（一）发包人若违反本《廉政合同》有关规定的，对违法乱纪人员，由发包人主管部门依据有关规定查处，给承包人造成的损失，按有关规定予以赔偿。</w:t>
      </w:r>
    </w:p>
    <w:p w14:paraId="3134F11A">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（二）承包人若违反本《廉政合同》有关规定的，对违法乱纪人员，由承包人主管部门依据有关规定查处，构成犯罪的移交司法机关处理，给发包人造成的损失，按有关规定予以赔偿。</w:t>
      </w:r>
    </w:p>
    <w:p w14:paraId="3FE0F112">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第五条 督查</w:t>
      </w:r>
      <w:r>
        <w:rPr>
          <w:rFonts w:hint="eastAsia" w:ascii="宋体" w:hAnsi="宋体" w:cs="Calibri"/>
          <w:b/>
          <w:color w:val="auto"/>
          <w:sz w:val="24"/>
          <w:szCs w:val="21"/>
          <w:highlight w:val="none"/>
        </w:rPr>
        <w:t>部门</w:t>
      </w:r>
    </w:p>
    <w:p w14:paraId="2ECE3EF5">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双方约定：自愿接受</w:t>
      </w:r>
      <w:r>
        <w:rPr>
          <w:rFonts w:hint="eastAsia" w:ascii="宋体" w:hAnsi="宋体" w:cs="Calibri"/>
          <w:color w:val="auto"/>
          <w:sz w:val="24"/>
          <w:szCs w:val="21"/>
          <w:highlight w:val="none"/>
        </w:rPr>
        <w:t>发包人及其上级</w:t>
      </w:r>
      <w:r>
        <w:rPr>
          <w:rFonts w:ascii="宋体" w:hAnsi="宋体" w:cs="Calibri"/>
          <w:color w:val="auto"/>
          <w:sz w:val="24"/>
          <w:szCs w:val="21"/>
          <w:highlight w:val="none"/>
        </w:rPr>
        <w:t>纪检监察</w:t>
      </w:r>
      <w:r>
        <w:rPr>
          <w:rFonts w:hint="eastAsia" w:ascii="宋体" w:hAnsi="宋体" w:cs="Calibri"/>
          <w:color w:val="auto"/>
          <w:sz w:val="24"/>
          <w:szCs w:val="21"/>
          <w:highlight w:val="none"/>
        </w:rPr>
        <w:t>部门</w:t>
      </w:r>
      <w:r>
        <w:rPr>
          <w:rFonts w:ascii="宋体" w:hAnsi="宋体" w:cs="Calibri"/>
          <w:color w:val="auto"/>
          <w:sz w:val="24"/>
          <w:szCs w:val="21"/>
          <w:highlight w:val="none"/>
        </w:rPr>
        <w:t>对合同执行情况的监督检查，甲、乙双方应积极配合督查单位的检查，包括提供有关资料和财务</w:t>
      </w:r>
      <w:r>
        <w:rPr>
          <w:rFonts w:hint="eastAsia" w:ascii="宋体" w:hAnsi="宋体" w:cs="Calibri"/>
          <w:color w:val="auto"/>
          <w:sz w:val="24"/>
          <w:szCs w:val="21"/>
          <w:highlight w:val="none"/>
        </w:rPr>
        <w:t>账册</w:t>
      </w:r>
      <w:r>
        <w:rPr>
          <w:rFonts w:ascii="宋体" w:hAnsi="宋体" w:cs="Calibri"/>
          <w:color w:val="auto"/>
          <w:sz w:val="24"/>
          <w:szCs w:val="21"/>
          <w:highlight w:val="none"/>
        </w:rPr>
        <w:t>，接受提出本合同规定范围内的裁定意见。</w:t>
      </w:r>
    </w:p>
    <w:p w14:paraId="16B7EC38">
      <w:pPr>
        <w:widowControl w:val="0"/>
        <w:spacing w:line="480" w:lineRule="exact"/>
        <w:ind w:firstLine="482"/>
        <w:jc w:val="both"/>
        <w:rPr>
          <w:rFonts w:ascii="宋体" w:hAnsi="宋体" w:cs="Calibri"/>
          <w:b/>
          <w:color w:val="auto"/>
          <w:sz w:val="24"/>
          <w:szCs w:val="21"/>
          <w:highlight w:val="none"/>
        </w:rPr>
      </w:pPr>
      <w:r>
        <w:rPr>
          <w:rFonts w:ascii="宋体" w:hAnsi="宋体" w:cs="Calibri"/>
          <w:b/>
          <w:color w:val="auto"/>
          <w:sz w:val="24"/>
          <w:szCs w:val="21"/>
          <w:highlight w:val="none"/>
        </w:rPr>
        <w:t>第六条 检查方式</w:t>
      </w:r>
    </w:p>
    <w:p w14:paraId="6D94A410">
      <w:pPr>
        <w:widowControl w:val="0"/>
        <w:spacing w:line="480" w:lineRule="exact"/>
        <w:ind w:firstLine="480"/>
        <w:jc w:val="both"/>
        <w:rPr>
          <w:rFonts w:ascii="宋体" w:hAnsi="宋体" w:cs="Calibri"/>
          <w:color w:val="auto"/>
          <w:sz w:val="24"/>
          <w:szCs w:val="21"/>
          <w:highlight w:val="none"/>
        </w:rPr>
      </w:pPr>
      <w:r>
        <w:rPr>
          <w:rFonts w:ascii="宋体" w:hAnsi="宋体" w:cs="Calibri"/>
          <w:color w:val="auto"/>
          <w:sz w:val="24"/>
          <w:szCs w:val="21"/>
          <w:highlight w:val="none"/>
        </w:rPr>
        <w:t>本合同的履约情况由督查</w:t>
      </w:r>
      <w:r>
        <w:rPr>
          <w:rFonts w:hint="eastAsia" w:ascii="宋体" w:hAnsi="宋体" w:cs="Calibri"/>
          <w:color w:val="auto"/>
          <w:sz w:val="24"/>
          <w:szCs w:val="21"/>
          <w:highlight w:val="none"/>
        </w:rPr>
        <w:t>部门</w:t>
      </w:r>
      <w:r>
        <w:rPr>
          <w:rFonts w:ascii="宋体" w:hAnsi="宋体" w:cs="Calibri"/>
          <w:color w:val="auto"/>
          <w:sz w:val="24"/>
          <w:szCs w:val="21"/>
          <w:highlight w:val="none"/>
        </w:rPr>
        <w:t>主持，甲乙双方共同派员参加，检查方式为座谈、问卷调查、查看资料及财务</w:t>
      </w:r>
      <w:r>
        <w:rPr>
          <w:rFonts w:hint="eastAsia" w:ascii="宋体" w:hAnsi="宋体" w:cs="Calibri"/>
          <w:color w:val="auto"/>
          <w:sz w:val="24"/>
          <w:szCs w:val="21"/>
          <w:highlight w:val="none"/>
        </w:rPr>
        <w:t>账册</w:t>
      </w:r>
      <w:r>
        <w:rPr>
          <w:rFonts w:ascii="宋体" w:hAnsi="宋体" w:cs="Calibri"/>
          <w:color w:val="auto"/>
          <w:sz w:val="24"/>
          <w:szCs w:val="21"/>
          <w:highlight w:val="none"/>
        </w:rPr>
        <w:t>或由各方约定的其他方式等。检查时间、次数、方式、检查结论和执行违约责任等由双方协商确定，如无法达成一致的，由督查单位依据事实裁定。</w:t>
      </w:r>
    </w:p>
    <w:p w14:paraId="464CAD4C">
      <w:pPr>
        <w:widowControl w:val="0"/>
        <w:spacing w:line="480" w:lineRule="exact"/>
        <w:ind w:firstLine="482"/>
        <w:jc w:val="both"/>
        <w:rPr>
          <w:rFonts w:ascii="宋体" w:hAnsi="宋体" w:eastAsia="宋体" w:cs="Calibri"/>
          <w:b/>
          <w:color w:val="auto"/>
          <w:sz w:val="24"/>
          <w:szCs w:val="21"/>
          <w:highlight w:val="none"/>
        </w:rPr>
      </w:pPr>
      <w:r>
        <w:rPr>
          <w:rFonts w:ascii="宋体" w:hAnsi="宋体" w:eastAsia="宋体" w:cs="Calibri"/>
          <w:b/>
          <w:color w:val="auto"/>
          <w:sz w:val="24"/>
          <w:szCs w:val="21"/>
          <w:highlight w:val="none"/>
        </w:rPr>
        <w:t>第七条 本合同有效期为工程开工之日起至该合同段工程项目竣工验收后止。</w:t>
      </w:r>
    </w:p>
    <w:p w14:paraId="4F6B2760">
      <w:pPr>
        <w:widowControl w:val="0"/>
        <w:spacing w:line="480" w:lineRule="exact"/>
        <w:ind w:firstLine="482"/>
        <w:jc w:val="both"/>
        <w:rPr>
          <w:rFonts w:hint="eastAsia" w:ascii="宋体" w:hAnsi="宋体" w:eastAsia="宋体" w:cs="Calibri"/>
          <w:b/>
          <w:color w:val="auto"/>
          <w:sz w:val="24"/>
          <w:szCs w:val="21"/>
          <w:highlight w:val="none"/>
        </w:rPr>
      </w:pPr>
      <w:r>
        <w:rPr>
          <w:rFonts w:ascii="宋体" w:hAnsi="宋体" w:eastAsia="宋体" w:cs="Calibri"/>
          <w:b/>
          <w:color w:val="auto"/>
          <w:sz w:val="24"/>
          <w:szCs w:val="21"/>
          <w:highlight w:val="none"/>
        </w:rPr>
        <w:t>第八条</w:t>
      </w:r>
      <w:r>
        <w:rPr>
          <w:rFonts w:hint="eastAsia" w:ascii="宋体" w:hAnsi="宋体" w:eastAsia="宋体" w:cs="Calibri"/>
          <w:b/>
          <w:color w:val="auto"/>
          <w:sz w:val="24"/>
          <w:szCs w:val="21"/>
          <w:highlight w:val="none"/>
        </w:rPr>
        <w:t xml:space="preserve"> 本</w:t>
      </w:r>
      <w:r>
        <w:rPr>
          <w:rFonts w:hint="eastAsia" w:ascii="宋体" w:hAnsi="宋体" w:eastAsia="宋体" w:cs="Calibri"/>
          <w:b/>
          <w:color w:val="auto"/>
          <w:sz w:val="24"/>
          <w:szCs w:val="21"/>
          <w:highlight w:val="none"/>
          <w:lang w:val="en-US" w:eastAsia="zh-CN"/>
        </w:rPr>
        <w:t>协议书</w:t>
      </w:r>
      <w:r>
        <w:rPr>
          <w:rFonts w:hint="eastAsia" w:ascii="宋体" w:hAnsi="宋体" w:eastAsia="宋体" w:cs="Calibri"/>
          <w:b/>
          <w:color w:val="auto"/>
          <w:sz w:val="24"/>
          <w:szCs w:val="21"/>
          <w:highlight w:val="none"/>
        </w:rPr>
        <w:t xml:space="preserve">一式 </w:t>
      </w:r>
      <w:r>
        <w:rPr>
          <w:rFonts w:hint="eastAsia" w:ascii="宋体" w:hAnsi="宋体" w:eastAsia="宋体" w:cs="Calibri"/>
          <w:b/>
          <w:color w:val="auto"/>
          <w:sz w:val="24"/>
          <w:szCs w:val="21"/>
          <w:highlight w:val="none"/>
          <w:lang w:val="en-US" w:eastAsia="zh-CN"/>
        </w:rPr>
        <w:t>陆</w:t>
      </w:r>
      <w:r>
        <w:rPr>
          <w:rFonts w:hint="eastAsia" w:ascii="宋体" w:hAnsi="宋体" w:eastAsia="宋体" w:cs="Calibri"/>
          <w:b/>
          <w:color w:val="auto"/>
          <w:sz w:val="24"/>
          <w:szCs w:val="21"/>
          <w:highlight w:val="none"/>
        </w:rPr>
        <w:t xml:space="preserve"> 份，均具有同等法律效力，</w:t>
      </w:r>
      <w:r>
        <w:rPr>
          <w:rFonts w:hint="eastAsia" w:ascii="宋体" w:hAnsi="宋体" w:eastAsia="宋体" w:cs="Calibri"/>
          <w:b/>
          <w:color w:val="auto"/>
          <w:sz w:val="24"/>
          <w:szCs w:val="21"/>
          <w:highlight w:val="none"/>
          <w:lang w:val="en-US" w:eastAsia="zh-CN"/>
        </w:rPr>
        <w:t>甲方</w:t>
      </w:r>
      <w:r>
        <w:rPr>
          <w:rFonts w:hint="eastAsia" w:ascii="宋体" w:hAnsi="宋体" w:eastAsia="宋体" w:cs="Calibri"/>
          <w:b/>
          <w:color w:val="auto"/>
          <w:sz w:val="24"/>
          <w:szCs w:val="21"/>
          <w:highlight w:val="none"/>
        </w:rPr>
        <w:t xml:space="preserve">执 </w:t>
      </w:r>
      <w:r>
        <w:rPr>
          <w:rFonts w:hint="eastAsia" w:ascii="宋体" w:hAnsi="宋体" w:eastAsia="宋体" w:cs="Calibri"/>
          <w:b/>
          <w:color w:val="auto"/>
          <w:sz w:val="24"/>
          <w:szCs w:val="21"/>
          <w:highlight w:val="none"/>
          <w:lang w:val="en-US" w:eastAsia="zh-CN"/>
        </w:rPr>
        <w:t>肆</w:t>
      </w:r>
      <w:r>
        <w:rPr>
          <w:rFonts w:hint="eastAsia" w:ascii="宋体" w:hAnsi="宋体" w:eastAsia="宋体" w:cs="Calibri"/>
          <w:b/>
          <w:color w:val="auto"/>
          <w:sz w:val="24"/>
          <w:szCs w:val="21"/>
          <w:highlight w:val="none"/>
        </w:rPr>
        <w:t xml:space="preserve"> 份，</w:t>
      </w:r>
      <w:r>
        <w:rPr>
          <w:rFonts w:hint="eastAsia" w:ascii="宋体" w:hAnsi="宋体" w:eastAsia="宋体" w:cs="Calibri"/>
          <w:b/>
          <w:color w:val="auto"/>
          <w:sz w:val="24"/>
          <w:szCs w:val="21"/>
          <w:highlight w:val="none"/>
          <w:lang w:val="en-US" w:eastAsia="zh-CN"/>
        </w:rPr>
        <w:t>乙方</w:t>
      </w:r>
      <w:r>
        <w:rPr>
          <w:rFonts w:hint="eastAsia" w:ascii="宋体" w:hAnsi="宋体" w:eastAsia="宋体" w:cs="Calibri"/>
          <w:b/>
          <w:color w:val="auto"/>
          <w:sz w:val="24"/>
          <w:szCs w:val="21"/>
          <w:highlight w:val="none"/>
        </w:rPr>
        <w:t xml:space="preserve">执 </w:t>
      </w:r>
      <w:r>
        <w:rPr>
          <w:rFonts w:hint="eastAsia" w:ascii="宋体" w:hAnsi="宋体" w:eastAsia="宋体" w:cs="Calibri"/>
          <w:b/>
          <w:color w:val="auto"/>
          <w:sz w:val="24"/>
          <w:szCs w:val="21"/>
          <w:highlight w:val="none"/>
          <w:lang w:val="en-US" w:eastAsia="zh-CN"/>
        </w:rPr>
        <w:t>贰</w:t>
      </w:r>
      <w:r>
        <w:rPr>
          <w:rFonts w:hint="eastAsia" w:ascii="宋体" w:hAnsi="宋体" w:eastAsia="宋体" w:cs="Calibri"/>
          <w:b/>
          <w:color w:val="auto"/>
          <w:sz w:val="24"/>
          <w:szCs w:val="21"/>
          <w:highlight w:val="none"/>
        </w:rPr>
        <w:t xml:space="preserve"> 份。</w:t>
      </w:r>
    </w:p>
    <w:p w14:paraId="7DEBC3F5">
      <w:pPr>
        <w:widowControl w:val="0"/>
        <w:spacing w:line="480" w:lineRule="exact"/>
        <w:ind w:firstLine="480"/>
        <w:jc w:val="both"/>
        <w:rPr>
          <w:rFonts w:cs="宋体" w:asciiTheme="minorEastAsia" w:hAnsiTheme="minorEastAsia" w:eastAsiaTheme="minorEastAsia"/>
          <w:color w:val="auto"/>
          <w:sz w:val="24"/>
          <w:szCs w:val="24"/>
          <w:highlight w:val="none"/>
        </w:rPr>
      </w:pPr>
    </w:p>
    <w:p w14:paraId="4A51D280">
      <w:pPr>
        <w:widowControl w:val="0"/>
        <w:spacing w:line="480" w:lineRule="exact"/>
        <w:ind w:firstLine="480"/>
        <w:jc w:val="both"/>
        <w:rPr>
          <w:rFonts w:ascii="宋体" w:hAnsi="宋体" w:cs="宋体"/>
          <w:color w:val="auto"/>
          <w:sz w:val="24"/>
          <w:szCs w:val="24"/>
          <w:highlight w:val="none"/>
        </w:rPr>
      </w:pPr>
    </w:p>
    <w:p w14:paraId="02E9C13A">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乙方：（盖章） </w:t>
      </w:r>
    </w:p>
    <w:p w14:paraId="776D4FFF">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5F7DC021">
      <w:pPr>
        <w:widowControl w:val="0"/>
        <w:spacing w:line="480" w:lineRule="exact"/>
        <w:ind w:firstLine="480"/>
        <w:jc w:val="both"/>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1E031AEE">
      <w:pPr>
        <w:widowControl w:val="0"/>
        <w:spacing w:line="480" w:lineRule="exact"/>
        <w:ind w:firstLine="480"/>
        <w:jc w:val="both"/>
        <w:rPr>
          <w:rFonts w:ascii="宋体" w:hAnsi="宋体" w:cs="宋体"/>
          <w:color w:val="auto"/>
          <w:sz w:val="24"/>
          <w:szCs w:val="24"/>
          <w:highlight w:val="none"/>
        </w:rPr>
      </w:pPr>
    </w:p>
    <w:p w14:paraId="032A60CF">
      <w:pPr>
        <w:widowControl w:val="0"/>
        <w:spacing w:line="480" w:lineRule="exact"/>
        <w:ind w:firstLine="5440" w:firstLineChars="2267"/>
        <w:jc w:val="both"/>
        <w:rPr>
          <w:rFonts w:ascii="宋体" w:hAnsi="宋体" w:cs="Calibri"/>
          <w:b/>
          <w:color w:val="auto"/>
          <w:sz w:val="24"/>
          <w:szCs w:val="21"/>
          <w:highlight w:val="none"/>
        </w:rPr>
      </w:pPr>
      <w:r>
        <w:rPr>
          <w:rFonts w:hint="eastAsia" w:ascii="宋体" w:hAnsi="宋体" w:cs="宋体"/>
          <w:color w:val="auto"/>
          <w:sz w:val="24"/>
          <w:szCs w:val="24"/>
          <w:highlight w:val="none"/>
        </w:rPr>
        <w:t xml:space="preserve"> 签订日期：      年   月   日</w:t>
      </w:r>
    </w:p>
    <w:p w14:paraId="0DBEE932">
      <w:pPr>
        <w:widowControl w:val="0"/>
        <w:spacing w:line="460" w:lineRule="exact"/>
        <w:ind w:firstLine="480"/>
        <w:jc w:val="both"/>
        <w:rPr>
          <w:rFonts w:ascii="宋体" w:hAnsi="宋体" w:cs="Calibri"/>
          <w:color w:val="auto"/>
          <w:sz w:val="24"/>
          <w:szCs w:val="21"/>
          <w:highlight w:val="none"/>
        </w:rPr>
      </w:pPr>
    </w:p>
    <w:p w14:paraId="2DB389F1">
      <w:pPr>
        <w:widowControl w:val="0"/>
        <w:spacing w:line="460" w:lineRule="exact"/>
        <w:ind w:firstLine="480"/>
        <w:jc w:val="both"/>
        <w:rPr>
          <w:rFonts w:ascii="宋体" w:hAnsi="宋体" w:cs="Calibri"/>
          <w:color w:val="auto"/>
          <w:sz w:val="24"/>
          <w:szCs w:val="21"/>
          <w:highlight w:val="none"/>
        </w:rPr>
      </w:pPr>
    </w:p>
    <w:p w14:paraId="6DC48D13">
      <w:pPr>
        <w:widowControl w:val="0"/>
        <w:spacing w:line="480" w:lineRule="exact"/>
        <w:jc w:val="both"/>
        <w:rPr>
          <w:rFonts w:ascii="宋体" w:hAnsi="宋体" w:cs="Calibri"/>
          <w:color w:val="auto"/>
          <w:sz w:val="24"/>
          <w:szCs w:val="21"/>
          <w:highlight w:val="none"/>
        </w:rPr>
      </w:pPr>
    </w:p>
    <w:p w14:paraId="0E38165D">
      <w:pPr>
        <w:pStyle w:val="18"/>
        <w:numPr>
          <w:ilvl w:val="0"/>
          <w:numId w:val="0"/>
        </w:numPr>
        <w:spacing w:before="0" w:after="120" w:line="240" w:lineRule="auto"/>
        <w:rPr>
          <w:rFonts w:ascii="宋体" w:hAnsi="宋体" w:cs="Calibri"/>
          <w:color w:val="auto"/>
          <w:sz w:val="24"/>
          <w:szCs w:val="21"/>
          <w:highlight w:val="none"/>
        </w:rPr>
      </w:pPr>
    </w:p>
    <w:p w14:paraId="40A391E9">
      <w:pPr>
        <w:pStyle w:val="18"/>
        <w:numPr>
          <w:ilvl w:val="0"/>
          <w:numId w:val="0"/>
        </w:numPr>
        <w:spacing w:before="0" w:after="120" w:line="240" w:lineRule="auto"/>
        <w:rPr>
          <w:rFonts w:ascii="宋体" w:hAnsi="宋体" w:cs="Calibri"/>
          <w:color w:val="auto"/>
          <w:sz w:val="24"/>
          <w:szCs w:val="21"/>
          <w:highlight w:val="none"/>
        </w:rPr>
      </w:pPr>
    </w:p>
    <w:p w14:paraId="536879B2">
      <w:pPr>
        <w:pStyle w:val="18"/>
        <w:numPr>
          <w:ilvl w:val="0"/>
          <w:numId w:val="0"/>
        </w:numPr>
        <w:spacing w:before="0" w:after="120" w:line="240" w:lineRule="auto"/>
        <w:rPr>
          <w:rFonts w:ascii="宋体" w:hAnsi="宋体" w:cs="Calibri"/>
          <w:color w:val="auto"/>
          <w:sz w:val="24"/>
          <w:szCs w:val="21"/>
          <w:highlight w:val="none"/>
        </w:rPr>
      </w:pPr>
    </w:p>
    <w:p w14:paraId="08616870">
      <w:pPr>
        <w:pStyle w:val="18"/>
        <w:numPr>
          <w:ilvl w:val="0"/>
          <w:numId w:val="0"/>
        </w:numPr>
        <w:spacing w:before="0" w:after="120" w:line="240" w:lineRule="auto"/>
        <w:rPr>
          <w:rFonts w:ascii="宋体" w:hAnsi="宋体" w:cs="Calibri"/>
          <w:color w:val="auto"/>
          <w:sz w:val="24"/>
          <w:szCs w:val="21"/>
          <w:highlight w:val="none"/>
        </w:rPr>
      </w:pPr>
    </w:p>
    <w:p w14:paraId="5412B0C7">
      <w:pPr>
        <w:pStyle w:val="18"/>
        <w:numPr>
          <w:ilvl w:val="0"/>
          <w:numId w:val="0"/>
        </w:numPr>
        <w:spacing w:before="0" w:after="120" w:line="240" w:lineRule="auto"/>
        <w:rPr>
          <w:rFonts w:ascii="宋体" w:hAnsi="宋体" w:cs="Calibri"/>
          <w:color w:val="auto"/>
          <w:sz w:val="24"/>
          <w:szCs w:val="21"/>
          <w:highlight w:val="none"/>
        </w:rPr>
      </w:pPr>
    </w:p>
    <w:p w14:paraId="0DB4AD92">
      <w:pPr>
        <w:pStyle w:val="18"/>
        <w:numPr>
          <w:ilvl w:val="0"/>
          <w:numId w:val="0"/>
        </w:numPr>
        <w:spacing w:before="0" w:after="120" w:line="240" w:lineRule="auto"/>
        <w:rPr>
          <w:rFonts w:ascii="宋体" w:hAnsi="宋体" w:cs="Calibri"/>
          <w:color w:val="auto"/>
          <w:sz w:val="24"/>
          <w:szCs w:val="21"/>
          <w:highlight w:val="none"/>
        </w:rPr>
      </w:pPr>
    </w:p>
    <w:p w14:paraId="166FB37A">
      <w:pPr>
        <w:pStyle w:val="18"/>
        <w:numPr>
          <w:ilvl w:val="0"/>
          <w:numId w:val="0"/>
        </w:numPr>
        <w:spacing w:before="0" w:after="120" w:line="240" w:lineRule="auto"/>
        <w:rPr>
          <w:rFonts w:ascii="宋体" w:hAnsi="宋体" w:cs="Calibri"/>
          <w:color w:val="auto"/>
          <w:sz w:val="24"/>
          <w:szCs w:val="21"/>
          <w:highlight w:val="none"/>
        </w:rPr>
      </w:pPr>
    </w:p>
    <w:p w14:paraId="006ED6B4">
      <w:pPr>
        <w:pStyle w:val="18"/>
        <w:numPr>
          <w:ilvl w:val="0"/>
          <w:numId w:val="0"/>
        </w:numPr>
        <w:spacing w:before="0" w:after="120" w:line="240" w:lineRule="auto"/>
        <w:rPr>
          <w:rFonts w:ascii="宋体" w:hAnsi="宋体" w:cs="Calibri"/>
          <w:color w:val="auto"/>
          <w:sz w:val="24"/>
          <w:szCs w:val="21"/>
          <w:highlight w:val="none"/>
        </w:rPr>
      </w:pPr>
    </w:p>
    <w:p w14:paraId="54DFCBCC">
      <w:pPr>
        <w:pStyle w:val="18"/>
        <w:numPr>
          <w:ilvl w:val="0"/>
          <w:numId w:val="0"/>
        </w:numPr>
        <w:spacing w:before="0" w:after="120" w:line="240" w:lineRule="auto"/>
        <w:rPr>
          <w:rFonts w:ascii="宋体" w:hAnsi="宋体" w:cs="Calibri"/>
          <w:color w:val="auto"/>
          <w:sz w:val="24"/>
          <w:szCs w:val="21"/>
          <w:highlight w:val="none"/>
        </w:rPr>
      </w:pPr>
    </w:p>
    <w:p w14:paraId="247F9199">
      <w:pPr>
        <w:pStyle w:val="18"/>
        <w:numPr>
          <w:ilvl w:val="0"/>
          <w:numId w:val="0"/>
        </w:numPr>
        <w:spacing w:before="0" w:after="120" w:line="240" w:lineRule="auto"/>
        <w:rPr>
          <w:rFonts w:ascii="宋体" w:hAnsi="宋体" w:cs="Calibri"/>
          <w:color w:val="auto"/>
          <w:sz w:val="24"/>
          <w:szCs w:val="21"/>
          <w:highlight w:val="none"/>
        </w:rPr>
      </w:pPr>
    </w:p>
    <w:p w14:paraId="194609BF">
      <w:pPr>
        <w:pStyle w:val="18"/>
        <w:numPr>
          <w:ilvl w:val="0"/>
          <w:numId w:val="0"/>
        </w:numPr>
        <w:spacing w:before="0" w:after="120" w:line="240" w:lineRule="auto"/>
        <w:rPr>
          <w:rFonts w:ascii="宋体" w:hAnsi="宋体" w:cs="Calibri"/>
          <w:color w:val="auto"/>
          <w:sz w:val="24"/>
          <w:szCs w:val="21"/>
          <w:highlight w:val="none"/>
        </w:rPr>
      </w:pPr>
    </w:p>
    <w:p w14:paraId="25065582">
      <w:pPr>
        <w:pStyle w:val="18"/>
        <w:numPr>
          <w:ilvl w:val="0"/>
          <w:numId w:val="0"/>
        </w:numPr>
        <w:spacing w:before="0" w:after="120" w:line="240" w:lineRule="auto"/>
        <w:rPr>
          <w:rFonts w:ascii="宋体" w:hAnsi="宋体" w:cs="Calibri"/>
          <w:color w:val="auto"/>
          <w:sz w:val="24"/>
          <w:szCs w:val="21"/>
          <w:highlight w:val="none"/>
        </w:rPr>
      </w:pPr>
    </w:p>
    <w:p w14:paraId="13B7F8C5">
      <w:pPr>
        <w:widowControl w:val="0"/>
        <w:spacing w:before="100" w:beforeAutospacing="1" w:after="100" w:afterAutospacing="1" w:line="480" w:lineRule="exact"/>
        <w:jc w:val="center"/>
        <w:outlineLvl w:val="1"/>
        <w:rPr>
          <w:rFonts w:hint="eastAsia" w:ascii="宋体" w:hAnsi="宋体" w:cs="Calibri"/>
          <w:b/>
          <w:bCs/>
          <w:color w:val="auto"/>
          <w:sz w:val="32"/>
          <w:szCs w:val="32"/>
          <w:highlight w:val="none"/>
        </w:rPr>
      </w:pPr>
    </w:p>
    <w:p w14:paraId="3F8BCEB7">
      <w:pPr>
        <w:widowControl w:val="0"/>
        <w:spacing w:before="100" w:beforeAutospacing="1" w:after="100" w:afterAutospacing="1" w:line="480" w:lineRule="exact"/>
        <w:jc w:val="center"/>
        <w:outlineLvl w:val="1"/>
        <w:rPr>
          <w:rFonts w:hint="eastAsia" w:ascii="宋体" w:hAnsi="宋体" w:cs="Calibri"/>
          <w:b/>
          <w:bCs/>
          <w:color w:val="auto"/>
          <w:sz w:val="32"/>
          <w:szCs w:val="32"/>
          <w:highlight w:val="none"/>
        </w:rPr>
      </w:pPr>
    </w:p>
    <w:p w14:paraId="27CA2F14">
      <w:pPr>
        <w:widowControl w:val="0"/>
        <w:spacing w:before="100" w:beforeAutospacing="1" w:after="100" w:afterAutospacing="1" w:line="480" w:lineRule="exact"/>
        <w:jc w:val="center"/>
        <w:outlineLvl w:val="1"/>
        <w:rPr>
          <w:rFonts w:hint="eastAsia" w:ascii="宋体" w:hAnsi="宋体" w:cs="Calibri"/>
          <w:b/>
          <w:bCs/>
          <w:color w:val="auto"/>
          <w:sz w:val="32"/>
          <w:szCs w:val="32"/>
          <w:highlight w:val="none"/>
        </w:rPr>
      </w:pPr>
      <w:r>
        <w:rPr>
          <w:rFonts w:hint="eastAsia" w:ascii="宋体" w:hAnsi="宋体" w:cs="Calibri"/>
          <w:b/>
          <w:bCs/>
          <w:color w:val="auto"/>
          <w:sz w:val="32"/>
          <w:szCs w:val="32"/>
          <w:highlight w:val="none"/>
        </w:rPr>
        <w:t>工程安全生产合同</w:t>
      </w:r>
    </w:p>
    <w:p w14:paraId="3343218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outlineLvl w:val="1"/>
        <w:rPr>
          <w:rFonts w:ascii="宋体" w:hAnsi="宋体" w:cs="Calibri"/>
          <w:color w:val="auto"/>
          <w:sz w:val="24"/>
          <w:szCs w:val="24"/>
          <w:highlight w:val="none"/>
        </w:rPr>
      </w:pPr>
      <w:r>
        <w:rPr>
          <w:rFonts w:hint="eastAsia" w:ascii="宋体" w:hAnsi="宋体" w:cs="Calibri"/>
          <w:color w:val="auto"/>
          <w:sz w:val="24"/>
          <w:szCs w:val="24"/>
          <w:highlight w:val="none"/>
        </w:rPr>
        <w:t>发包人</w:t>
      </w:r>
      <w:r>
        <w:rPr>
          <w:rFonts w:ascii="宋体" w:hAnsi="宋体" w:cs="Calibri"/>
          <w:color w:val="auto"/>
          <w:sz w:val="24"/>
          <w:szCs w:val="24"/>
          <w:highlight w:val="none"/>
        </w:rPr>
        <w:t>：</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eastAsia="zh-CN"/>
        </w:rPr>
        <w:t xml:space="preserve">盐城市亭湖区盐东镇人民政府  </w:t>
      </w:r>
      <w:r>
        <w:rPr>
          <w:rFonts w:hint="eastAsia" w:ascii="宋体" w:hAnsi="宋体" w:cs="Calibri"/>
          <w:color w:val="auto"/>
          <w:sz w:val="24"/>
          <w:szCs w:val="24"/>
          <w:highlight w:val="none"/>
          <w:u w:val="single"/>
        </w:rPr>
        <w:t xml:space="preserve"> </w:t>
      </w:r>
    </w:p>
    <w:p w14:paraId="18B5A5E5">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both"/>
        <w:textAlignment w:val="auto"/>
        <w:rPr>
          <w:rFonts w:ascii="宋体" w:hAnsi="宋体" w:cs="Calibri"/>
          <w:color w:val="auto"/>
          <w:sz w:val="24"/>
          <w:szCs w:val="24"/>
          <w:highlight w:val="none"/>
        </w:rPr>
      </w:pPr>
      <w:r>
        <w:rPr>
          <w:rFonts w:hint="eastAsia" w:ascii="宋体" w:hAnsi="宋体" w:cs="Calibri"/>
          <w:color w:val="auto"/>
          <w:sz w:val="24"/>
          <w:szCs w:val="24"/>
          <w:highlight w:val="none"/>
        </w:rPr>
        <w:t>承包人</w:t>
      </w:r>
      <w:r>
        <w:rPr>
          <w:rFonts w:ascii="宋体" w:hAnsi="宋体" w:cs="Calibri"/>
          <w:color w:val="auto"/>
          <w:sz w:val="24"/>
          <w:szCs w:val="24"/>
          <w:highlight w:val="none"/>
        </w:rPr>
        <w:t>：</w:t>
      </w:r>
      <w:r>
        <w:rPr>
          <w:rFonts w:hint="eastAsia" w:ascii="宋体" w:hAnsi="宋体" w:cs="Calibri"/>
          <w:color w:val="auto"/>
          <w:sz w:val="24"/>
          <w:szCs w:val="24"/>
          <w:highlight w:val="none"/>
          <w:u w:val="single"/>
        </w:rPr>
        <w:t xml:space="preserve">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（中标人）  </w:t>
      </w:r>
      <w:r>
        <w:rPr>
          <w:rFonts w:hint="eastAsia" w:ascii="宋体" w:hAnsi="宋体" w:cs="Calibri"/>
          <w:color w:val="auto"/>
          <w:sz w:val="24"/>
          <w:szCs w:val="24"/>
          <w:highlight w:val="none"/>
          <w:u w:val="single"/>
          <w:lang w:val="en-US" w:eastAsia="zh-CN"/>
        </w:rPr>
        <w:t xml:space="preserve">    </w:t>
      </w:r>
      <w:r>
        <w:rPr>
          <w:rFonts w:hint="eastAsia" w:ascii="宋体" w:hAnsi="宋体" w:cs="Calibri"/>
          <w:color w:val="auto"/>
          <w:sz w:val="24"/>
          <w:szCs w:val="24"/>
          <w:highlight w:val="none"/>
          <w:u w:val="single"/>
        </w:rPr>
        <w:t xml:space="preserve">    </w:t>
      </w:r>
    </w:p>
    <w:p w14:paraId="0478E6D0">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为在</w:t>
      </w:r>
      <w:r>
        <w:rPr>
          <w:rFonts w:hint="eastAsia" w:ascii="宋体" w:hAnsi="宋体" w:cs="宋体"/>
          <w:color w:val="auto"/>
          <w:sz w:val="24"/>
          <w:szCs w:val="24"/>
          <w:highlight w:val="none"/>
          <w:u w:val="single"/>
          <w:lang w:eastAsia="zh-CN"/>
        </w:rPr>
        <w:t>盐东镇农村公路中次差路段大中修工程</w:t>
      </w:r>
      <w:r>
        <w:rPr>
          <w:rFonts w:hint="eastAsia" w:ascii="宋体" w:hAnsi="宋体" w:cs="宋体"/>
          <w:color w:val="auto"/>
          <w:sz w:val="24"/>
          <w:szCs w:val="24"/>
          <w:highlight w:val="none"/>
        </w:rPr>
        <w:t>合同的实施过程中创造安全、高效的施工环境，切实搞好本工程的安全管理工作，特此签订安全生产合同。具体如下：</w:t>
      </w:r>
    </w:p>
    <w:p w14:paraId="6A091C5A">
      <w:pPr>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jc w:val="both"/>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一、发包人职责</w:t>
      </w:r>
    </w:p>
    <w:p w14:paraId="3B05BAB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1.严格遵守国家有关安全生产的法律法规，认真执行工程承包合同中的有关安全要求。</w:t>
      </w:r>
    </w:p>
    <w:p w14:paraId="0975EF3B">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2.按照“安全第一、预防为主”和坚持“管生产必需管安全”的原则进行安全生产管理，做到生产与安全工作同时计划、布置、检查、总结和评比。</w:t>
      </w:r>
    </w:p>
    <w:p w14:paraId="71BA8702">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3.定期召开安全生产协调会，及时传达中央及地方有关安全生产的精神。</w:t>
      </w:r>
    </w:p>
    <w:p w14:paraId="6426ACE7">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4.组织对承包人施工现场安全生产检查，建立安全生产责任制网络、汇总重要危险源、监督承包人及时处理发现的各种安全隐患。</w:t>
      </w:r>
    </w:p>
    <w:p w14:paraId="4C92C4FA">
      <w:pPr>
        <w:keepNext w:val="0"/>
        <w:keepLines w:val="0"/>
        <w:pageBreakBefore w:val="0"/>
        <w:widowControl w:val="0"/>
        <w:kinsoku/>
        <w:wordWrap/>
        <w:overflowPunct/>
        <w:topLinePunct w:val="0"/>
        <w:autoSpaceDE/>
        <w:autoSpaceDN/>
        <w:bidi w:val="0"/>
        <w:adjustRightInd/>
        <w:snapToGrid/>
        <w:spacing w:line="560" w:lineRule="exact"/>
        <w:ind w:firstLine="482"/>
        <w:jc w:val="both"/>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二、承包人职责</w:t>
      </w:r>
    </w:p>
    <w:p w14:paraId="2A8B8DBF">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1.严格遵守国家有关安全生产的法律法规、有关安全生产的规定，认真执行工程承包合同中的有关安全要求，接受发包人和监理工程师对安全生产工作的指导。</w:t>
      </w:r>
    </w:p>
    <w:p w14:paraId="3C335510">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05225767">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3.建立健全安全生产责任制网络。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p>
    <w:p w14:paraId="2129583A">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4.承包人在任何时候都应采取各种合理的预防措施，防止其人员发生任何违法、违禁、暴力、违规或妨碍治安的行为。</w:t>
      </w:r>
    </w:p>
    <w:p w14:paraId="628B2172">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p>
    <w:p w14:paraId="42203705">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6.加强施工中交通运输安全管理，各种运输机械等需划定运输路线行驶。</w:t>
      </w:r>
    </w:p>
    <w:p w14:paraId="44637A88">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7.对于易燃易爆的材料除应专门有效封闭、妥善保管之外，还应配备有足够的消防设施，所有施工人员都应熟悉消防设备的性能和使用方法。</w:t>
      </w:r>
    </w:p>
    <w:p w14:paraId="11213FB5">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8.操作人员上岗，必须按规定穿戴防护用品。施工负责人和安全检查员应随时检查劳动防护用品的穿戴情况，不按规定穿戴防护用品的人员不得上岗。</w:t>
      </w:r>
    </w:p>
    <w:p w14:paraId="2F030980">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9.所有施工机具、设备和劳动保护用品应具备有效的安检合格证明，并经安全员签名同意后方可使用，施工期间应定期检查，保证其处于完好状态；不合格的机具、设备和劳动保护用品严禁使用。</w:t>
      </w:r>
    </w:p>
    <w:p w14:paraId="3105354F">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10.施工现场必须具有相关的安全标志牌。</w:t>
      </w:r>
    </w:p>
    <w:p w14:paraId="45A9CB42">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11.建立主要危险源备案制度，要明确潜在隐患、防范措施和落实责任人。</w:t>
      </w:r>
    </w:p>
    <w:p w14:paraId="159ED4F1">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12.承包人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13EBBFC6">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13.施工期间所有安全、消防、市容保洁、环境噪声、成品保护、治安保卫、文明施工应由承包人负责，非发包人原因发生的一切法律、经济问题和责任与发包人无关，费用由承包人自理。</w:t>
      </w:r>
    </w:p>
    <w:p w14:paraId="722BC902">
      <w:pPr>
        <w:keepNext w:val="0"/>
        <w:keepLines w:val="0"/>
        <w:pageBreakBefore w:val="0"/>
        <w:widowControl w:val="0"/>
        <w:kinsoku/>
        <w:wordWrap/>
        <w:overflowPunct/>
        <w:topLinePunct w:val="0"/>
        <w:autoSpaceDE/>
        <w:autoSpaceDN/>
        <w:bidi w:val="0"/>
        <w:adjustRightInd/>
        <w:snapToGrid/>
        <w:spacing w:line="560" w:lineRule="exact"/>
        <w:ind w:firstLine="482"/>
        <w:jc w:val="both"/>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三、违约责任</w:t>
      </w:r>
    </w:p>
    <w:p w14:paraId="4AF671E4">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宋体" w:hAnsi="宋体" w:cs="宋体"/>
          <w:color w:val="auto"/>
          <w:sz w:val="24"/>
          <w:szCs w:val="24"/>
          <w:highlight w:val="none"/>
        </w:rPr>
      </w:pPr>
      <w:r>
        <w:rPr>
          <w:rFonts w:hint="eastAsia" w:ascii="宋体" w:hAnsi="宋体" w:cs="宋体"/>
          <w:color w:val="auto"/>
          <w:sz w:val="24"/>
          <w:szCs w:val="24"/>
          <w:highlight w:val="none"/>
        </w:rPr>
        <w:t>如因发包人或承包人违约造成安全事故，均分别报请有关部门依法追究责任。</w:t>
      </w:r>
    </w:p>
    <w:p w14:paraId="5027302E">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bCs/>
          <w:color w:val="auto"/>
          <w:sz w:val="24"/>
          <w:szCs w:val="24"/>
          <w:highlight w:val="none"/>
        </w:rPr>
        <w:t>本</w:t>
      </w:r>
      <w:r>
        <w:rPr>
          <w:rFonts w:hint="eastAsia" w:ascii="宋体" w:hAnsi="宋体" w:cs="宋体"/>
          <w:bCs/>
          <w:color w:val="auto"/>
          <w:sz w:val="24"/>
          <w:szCs w:val="24"/>
          <w:highlight w:val="none"/>
          <w:lang w:val="en-US" w:eastAsia="zh-CN"/>
        </w:rPr>
        <w:t>协议书</w:t>
      </w:r>
      <w:r>
        <w:rPr>
          <w:rFonts w:hint="eastAsia" w:ascii="宋体" w:hAnsi="宋体" w:cs="宋体"/>
          <w:bCs/>
          <w:color w:val="auto"/>
          <w:sz w:val="24"/>
          <w:szCs w:val="24"/>
          <w:highlight w:val="none"/>
        </w:rPr>
        <w:t>一式</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陆</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份，均具有同等法律效力，</w:t>
      </w:r>
      <w:r>
        <w:rPr>
          <w:rFonts w:hint="eastAsia" w:ascii="宋体" w:hAnsi="宋体" w:cs="宋体"/>
          <w:bCs/>
          <w:color w:val="auto"/>
          <w:sz w:val="24"/>
          <w:szCs w:val="24"/>
          <w:highlight w:val="none"/>
          <w:lang w:val="en-US" w:eastAsia="zh-CN"/>
        </w:rPr>
        <w:t>甲方</w:t>
      </w:r>
      <w:r>
        <w:rPr>
          <w:rFonts w:hint="eastAsia" w:ascii="宋体" w:hAnsi="宋体" w:cs="宋体"/>
          <w:bCs/>
          <w:color w:val="auto"/>
          <w:sz w:val="24"/>
          <w:szCs w:val="24"/>
          <w:highlight w:val="none"/>
        </w:rPr>
        <w:t>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肆</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份，</w:t>
      </w:r>
      <w:r>
        <w:rPr>
          <w:rFonts w:hint="eastAsia" w:ascii="宋体" w:hAnsi="宋体" w:cs="宋体"/>
          <w:bCs/>
          <w:color w:val="auto"/>
          <w:sz w:val="24"/>
          <w:szCs w:val="24"/>
          <w:highlight w:val="none"/>
          <w:lang w:val="en-US" w:eastAsia="zh-CN"/>
        </w:rPr>
        <w:t>乙方</w:t>
      </w:r>
      <w:r>
        <w:rPr>
          <w:rFonts w:hint="eastAsia" w:ascii="宋体" w:hAnsi="宋体" w:cs="宋体"/>
          <w:bCs/>
          <w:color w:val="auto"/>
          <w:sz w:val="24"/>
          <w:szCs w:val="24"/>
          <w:highlight w:val="none"/>
        </w:rPr>
        <w:t>执</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份</w:t>
      </w:r>
      <w:r>
        <w:rPr>
          <w:rFonts w:hint="eastAsia" w:ascii="宋体" w:hAnsi="宋体" w:cs="宋体"/>
          <w:bCs/>
          <w:color w:val="auto"/>
          <w:sz w:val="24"/>
          <w:szCs w:val="24"/>
          <w:highlight w:val="none"/>
          <w:lang w:eastAsia="zh-CN"/>
        </w:rPr>
        <w:t>。</w:t>
      </w:r>
    </w:p>
    <w:p w14:paraId="6F7FB84B">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 xml:space="preserve"> 乙方：（盖章） </w:t>
      </w:r>
    </w:p>
    <w:p w14:paraId="4069F7EB">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                       </w:t>
      </w:r>
      <w:r>
        <w:rPr>
          <w:rFonts w:hint="default" w:ascii="宋体" w:hAnsi="宋体" w:cs="宋体"/>
          <w:color w:val="auto"/>
          <w:sz w:val="24"/>
          <w:szCs w:val="24"/>
          <w:highlight w:val="none"/>
          <w:lang w:val="en-US"/>
        </w:rPr>
        <w:t xml:space="preserve">        </w:t>
      </w:r>
      <w:r>
        <w:rPr>
          <w:rFonts w:hint="eastAsia" w:ascii="宋体" w:hAnsi="宋体" w:cs="宋体"/>
          <w:color w:val="auto"/>
          <w:sz w:val="24"/>
          <w:szCs w:val="24"/>
          <w:highlight w:val="none"/>
        </w:rPr>
        <w:t>法定代表人或</w:t>
      </w:r>
    </w:p>
    <w:p w14:paraId="645E68E2">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被授权代理人： （签字</w:t>
      </w:r>
      <w:r>
        <w:rPr>
          <w:rFonts w:hint="eastAsia" w:ascii="宋体" w:hAnsi="宋体" w:cs="宋体"/>
          <w:color w:val="auto"/>
          <w:sz w:val="24"/>
          <w:szCs w:val="24"/>
          <w:highlight w:val="none"/>
          <w:lang w:val="en-US" w:eastAsia="zh-CN"/>
        </w:rPr>
        <w:t>或盖章</w:t>
      </w:r>
      <w:r>
        <w:rPr>
          <w:rFonts w:hint="eastAsia" w:ascii="宋体" w:hAnsi="宋体" w:cs="宋体"/>
          <w:color w:val="auto"/>
          <w:sz w:val="24"/>
          <w:szCs w:val="24"/>
          <w:highlight w:val="none"/>
        </w:rPr>
        <w:t xml:space="preserve">）    </w:t>
      </w:r>
    </w:p>
    <w:p w14:paraId="2B774BFC">
      <w:pPr>
        <w:widowControl w:val="0"/>
        <w:spacing w:line="480" w:lineRule="exact"/>
        <w:ind w:firstLine="480"/>
        <w:jc w:val="both"/>
        <w:rPr>
          <w:rFonts w:ascii="宋体" w:hAnsi="宋体" w:cs="宋体"/>
          <w:color w:val="auto"/>
          <w:sz w:val="24"/>
          <w:szCs w:val="24"/>
          <w:highlight w:val="none"/>
        </w:rPr>
      </w:pPr>
    </w:p>
    <w:p w14:paraId="524C7C2D">
      <w:pPr>
        <w:widowControl w:val="0"/>
        <w:spacing w:line="480" w:lineRule="exact"/>
        <w:ind w:firstLine="5440" w:firstLineChars="2267"/>
        <w:jc w:val="both"/>
        <w:rPr>
          <w:rFonts w:ascii="宋体" w:hAnsi="宋体" w:cs="Calibri"/>
          <w:b/>
          <w:color w:val="auto"/>
          <w:sz w:val="24"/>
          <w:szCs w:val="24"/>
          <w:highlight w:val="none"/>
        </w:rPr>
      </w:pPr>
      <w:r>
        <w:rPr>
          <w:rFonts w:hint="eastAsia" w:ascii="宋体" w:hAnsi="宋体" w:cs="宋体"/>
          <w:color w:val="auto"/>
          <w:sz w:val="24"/>
          <w:szCs w:val="24"/>
          <w:highlight w:val="none"/>
        </w:rPr>
        <w:t xml:space="preserve"> 签订日期：      年   月   日</w:t>
      </w:r>
    </w:p>
    <w:p w14:paraId="04735A52">
      <w:pPr>
        <w:widowControl w:val="0"/>
        <w:spacing w:line="480" w:lineRule="exact"/>
        <w:ind w:firstLine="480"/>
        <w:jc w:val="both"/>
        <w:rPr>
          <w:rFonts w:ascii="宋体" w:hAnsi="宋体" w:cs="宋体"/>
          <w:color w:val="auto"/>
          <w:sz w:val="24"/>
          <w:szCs w:val="24"/>
          <w:highlight w:val="none"/>
        </w:rPr>
      </w:pPr>
    </w:p>
    <w:p w14:paraId="74AAC32C">
      <w:pPr>
        <w:widowControl w:val="0"/>
        <w:rPr>
          <w:rFonts w:cs="宋体" w:asciiTheme="minorEastAsia" w:hAnsiTheme="minorEastAsia" w:eastAsiaTheme="minorEastAsia"/>
          <w:b/>
          <w:color w:val="auto"/>
          <w:sz w:val="24"/>
          <w:szCs w:val="24"/>
          <w:highlight w:val="none"/>
        </w:rPr>
      </w:pPr>
      <w:r>
        <w:rPr>
          <w:rFonts w:cs="宋体" w:asciiTheme="minorEastAsia" w:hAnsiTheme="minorEastAsia" w:eastAsiaTheme="minorEastAsia"/>
          <w:b/>
          <w:color w:val="auto"/>
          <w:sz w:val="24"/>
          <w:szCs w:val="24"/>
          <w:highlight w:val="none"/>
        </w:rPr>
        <w:br w:type="page" w:clear="all"/>
      </w:r>
    </w:p>
    <w:p w14:paraId="2748BEB9">
      <w:pPr>
        <w:spacing w:before="156" w:beforeLines="50" w:after="156" w:afterLines="50" w:line="440" w:lineRule="exact"/>
        <w:jc w:val="cente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工程质量保修书</w:t>
      </w:r>
    </w:p>
    <w:p w14:paraId="54A3FA49">
      <w:pPr>
        <w:keepNext w:val="0"/>
        <w:keepLines w:val="0"/>
        <w:pageBreakBefore w:val="0"/>
        <w:widowControl w:val="0"/>
        <w:kinsoku/>
        <w:wordWrap/>
        <w:overflowPunct/>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（全称）：</w:t>
      </w:r>
      <w:r>
        <w:rPr>
          <w:rFonts w:hint="eastAsia" w:ascii="宋体" w:hAnsi="宋体" w:eastAsia="宋体" w:cs="宋体"/>
          <w:color w:val="auto"/>
          <w:sz w:val="24"/>
          <w:szCs w:val="24"/>
          <w:highlight w:val="none"/>
          <w:u w:val="single"/>
          <w:lang w:eastAsia="zh-CN"/>
        </w:rPr>
        <w:t>盐城市亭湖区盐东镇人民政府</w:t>
      </w:r>
    </w:p>
    <w:p w14:paraId="1BBC0AF6">
      <w:pPr>
        <w:pStyle w:val="33"/>
        <w:spacing w:line="420" w:lineRule="atLeast"/>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 </w:t>
      </w:r>
    </w:p>
    <w:p w14:paraId="562E02B4">
      <w:pPr>
        <w:keepNext w:val="0"/>
        <w:keepLines w:val="0"/>
        <w:pageBreakBefore w:val="0"/>
        <w:widowControl w:val="0"/>
        <w:kinsoku/>
        <w:wordWrap/>
        <w:overflowPunct/>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根据《中华人民共和国建筑法》和《建设工程质量管理条例》，经协商一致就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（工程全称）签订工程质量保修书。</w:t>
      </w:r>
    </w:p>
    <w:p w14:paraId="14CF95E9">
      <w:pPr>
        <w:keepNext w:val="0"/>
        <w:keepLines w:val="0"/>
        <w:pageBreakBefore w:val="0"/>
        <w:widowControl w:val="0"/>
        <w:kinsoku/>
        <w:wordWrap/>
        <w:overflowPunct/>
        <w:topLinePunct w:val="0"/>
        <w:autoSpaceDE w:val="0"/>
        <w:autoSpaceDN w:val="0"/>
        <w:bidi w:val="0"/>
        <w:spacing w:line="500" w:lineRule="exac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bookmarkStart w:id="156" w:name="_Toc7636"/>
      <w:r>
        <w:rPr>
          <w:rFonts w:hint="eastAsia" w:ascii="宋体" w:hAnsi="宋体" w:eastAsia="宋体" w:cs="宋体"/>
          <w:color w:val="auto"/>
          <w:sz w:val="24"/>
          <w:szCs w:val="24"/>
          <w:highlight w:val="none"/>
        </w:rPr>
        <w:t>一、工程质量保修范围和内容</w:t>
      </w:r>
      <w:bookmarkEnd w:id="156"/>
    </w:p>
    <w:p w14:paraId="7D890030">
      <w:pPr>
        <w:keepNext w:val="0"/>
        <w:keepLines w:val="0"/>
        <w:pageBreakBefore w:val="0"/>
        <w:widowControl w:val="0"/>
        <w:kinsoku/>
        <w:wordWrap/>
        <w:overflowPunct/>
        <w:topLinePunct w:val="0"/>
        <w:autoSpaceDE w:val="0"/>
        <w:autoSpaceDN w:val="0"/>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在质量保修期内，按照有关法律规定和合同约定，承担工程质量保修责任。</w:t>
      </w:r>
    </w:p>
    <w:p w14:paraId="7393A44E">
      <w:pPr>
        <w:keepNext w:val="0"/>
        <w:keepLines w:val="0"/>
        <w:pageBreakBefore w:val="0"/>
        <w:widowControl w:val="0"/>
        <w:kinsoku/>
        <w:wordWrap/>
        <w:overflowPunct/>
        <w:topLinePunct w:val="0"/>
        <w:autoSpaceDE w:val="0"/>
        <w:autoSpaceDN w:val="0"/>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质量保修范围包括本次招标范围内以下内容。</w:t>
      </w:r>
    </w:p>
    <w:p w14:paraId="236077C7">
      <w:pPr>
        <w:keepNext w:val="0"/>
        <w:keepLines w:val="0"/>
        <w:pageBreakBefore w:val="0"/>
        <w:widowControl w:val="0"/>
        <w:kinsoku/>
        <w:wordWrap/>
        <w:overflowPunct/>
        <w:topLinePunct w:val="0"/>
        <w:autoSpaceDE w:val="0"/>
        <w:autoSpaceDN w:val="0"/>
        <w:bidi w:val="0"/>
        <w:spacing w:line="500" w:lineRule="exact"/>
        <w:textAlignment w:val="auto"/>
        <w:outlineLvl w:val="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w:t>
      </w:r>
      <w:bookmarkStart w:id="157" w:name="_Toc30157"/>
      <w:r>
        <w:rPr>
          <w:rFonts w:hint="eastAsia" w:ascii="宋体" w:hAnsi="宋体" w:eastAsia="宋体" w:cs="宋体"/>
          <w:color w:val="auto"/>
          <w:sz w:val="24"/>
          <w:szCs w:val="24"/>
          <w:highlight w:val="none"/>
        </w:rPr>
        <w:t>二、质量保修期</w:t>
      </w:r>
      <w:bookmarkEnd w:id="157"/>
    </w:p>
    <w:p w14:paraId="426B4C7C">
      <w:pPr>
        <w:keepNext w:val="0"/>
        <w:keepLines w:val="0"/>
        <w:pageBreakBefore w:val="0"/>
        <w:widowControl w:val="0"/>
        <w:kinsoku/>
        <w:wordWrap/>
        <w:overflowPunct/>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根据《建设工程质量管理条例》及有关规定，工程的质量保修期如下：</w:t>
      </w:r>
    </w:p>
    <w:p w14:paraId="601C37C0">
      <w:pPr>
        <w:keepNext w:val="0"/>
        <w:keepLines w:val="0"/>
        <w:pageBreakBefore w:val="0"/>
        <w:widowControl w:val="0"/>
        <w:kinsoku/>
        <w:wordWrap/>
        <w:overflowPunct/>
        <w:topLinePunct w:val="0"/>
        <w:autoSpaceDE w:val="0"/>
        <w:autoSpaceDN w:val="0"/>
        <w:bidi w:val="0"/>
        <w:spacing w:line="500" w:lineRule="exact"/>
        <w:ind w:left="420" w:leftChars="200"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u w:val="single"/>
        </w:rPr>
        <w:t>本工程项目质保期为二年，从竣工验收合格之日起计算</w:t>
      </w:r>
      <w:r>
        <w:rPr>
          <w:rFonts w:hint="eastAsia" w:ascii="宋体" w:hAnsi="宋体" w:eastAsia="宋体" w:cs="宋体"/>
          <w:color w:val="auto"/>
          <w:sz w:val="24"/>
          <w:szCs w:val="24"/>
          <w:highlight w:val="none"/>
        </w:rPr>
        <w:t>。</w:t>
      </w:r>
    </w:p>
    <w:p w14:paraId="663AA9CE">
      <w:pPr>
        <w:keepNext w:val="0"/>
        <w:keepLines w:val="0"/>
        <w:pageBreakBefore w:val="0"/>
        <w:widowControl w:val="0"/>
        <w:kinsoku/>
        <w:wordWrap/>
        <w:overflowPunct/>
        <w:topLinePunct w:val="0"/>
        <w:autoSpaceDE w:val="0"/>
        <w:autoSpaceDN w:val="0"/>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质量保修期自工程竣工验收合格之日起计算。</w:t>
      </w:r>
    </w:p>
    <w:p w14:paraId="39BF65EB">
      <w:pPr>
        <w:keepNext w:val="0"/>
        <w:keepLines w:val="0"/>
        <w:pageBreakBefore w:val="0"/>
        <w:widowControl w:val="0"/>
        <w:kinsoku/>
        <w:wordWrap/>
        <w:overflowPunct/>
        <w:topLinePunct w:val="0"/>
        <w:autoSpaceDE w:val="0"/>
        <w:autoSpaceDN w:val="0"/>
        <w:bidi w:val="0"/>
        <w:spacing w:line="500" w:lineRule="exact"/>
        <w:ind w:firstLine="480" w:firstLineChars="200"/>
        <w:textAlignment w:val="auto"/>
        <w:outlineLvl w:val="0"/>
        <w:rPr>
          <w:rFonts w:hint="eastAsia" w:ascii="宋体" w:hAnsi="宋体" w:eastAsia="宋体" w:cs="宋体"/>
          <w:color w:val="auto"/>
          <w:sz w:val="24"/>
          <w:szCs w:val="24"/>
          <w:highlight w:val="none"/>
        </w:rPr>
      </w:pPr>
      <w:bookmarkStart w:id="158" w:name="_Toc7127"/>
      <w:r>
        <w:rPr>
          <w:rFonts w:hint="eastAsia" w:ascii="宋体" w:hAnsi="宋体" w:eastAsia="宋体" w:cs="宋体"/>
          <w:color w:val="auto"/>
          <w:sz w:val="24"/>
          <w:szCs w:val="24"/>
          <w:highlight w:val="none"/>
        </w:rPr>
        <w:t>三、缺陷责任期</w:t>
      </w:r>
      <w:bookmarkEnd w:id="158"/>
    </w:p>
    <w:p w14:paraId="053C5AC0">
      <w:pPr>
        <w:keepNext w:val="0"/>
        <w:keepLines w:val="0"/>
        <w:pageBreakBefore w:val="0"/>
        <w:widowControl w:val="0"/>
        <w:kinsoku/>
        <w:wordWrap/>
        <w:overflowPunct/>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工程缺陷责任期为</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个月，缺陷责任期自工程通过竣工验收之日起计算。单位工程先于全部工程进行验收，单位工程缺陷责任期自单位工程验收合格之日起算。</w:t>
      </w:r>
    </w:p>
    <w:p w14:paraId="383A76CB">
      <w:pPr>
        <w:keepNext w:val="0"/>
        <w:keepLines w:val="0"/>
        <w:pageBreakBefore w:val="0"/>
        <w:widowControl w:val="0"/>
        <w:kinsoku/>
        <w:wordWrap/>
        <w:overflowPunct/>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缺陷责任期终止后，</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应退还剩余的质量保证金。</w:t>
      </w:r>
    </w:p>
    <w:p w14:paraId="3A3BCA49">
      <w:pPr>
        <w:keepNext w:val="0"/>
        <w:keepLines w:val="0"/>
        <w:pageBreakBefore w:val="0"/>
        <w:widowControl w:val="0"/>
        <w:kinsoku/>
        <w:wordWrap/>
        <w:overflowPunct/>
        <w:topLinePunct w:val="0"/>
        <w:autoSpaceDE w:val="0"/>
        <w:autoSpaceDN w:val="0"/>
        <w:bidi w:val="0"/>
        <w:spacing w:line="500" w:lineRule="exac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59" w:name="_Toc6599"/>
      <w:r>
        <w:rPr>
          <w:rFonts w:hint="eastAsia" w:ascii="宋体" w:hAnsi="宋体" w:eastAsia="宋体" w:cs="宋体"/>
          <w:color w:val="auto"/>
          <w:sz w:val="24"/>
          <w:szCs w:val="24"/>
          <w:highlight w:val="none"/>
        </w:rPr>
        <w:t>四、质量保修责任</w:t>
      </w:r>
      <w:bookmarkEnd w:id="159"/>
    </w:p>
    <w:p w14:paraId="14543051">
      <w:pPr>
        <w:keepNext w:val="0"/>
        <w:keepLines w:val="0"/>
        <w:pageBreakBefore w:val="0"/>
        <w:widowControl w:val="0"/>
        <w:kinsoku/>
        <w:wordWrap/>
        <w:overflowPunct/>
        <w:topLinePunct w:val="0"/>
        <w:autoSpaceDE w:val="0"/>
        <w:autoSpaceDN w:val="0"/>
        <w:bidi w:val="0"/>
        <w:spacing w:line="500" w:lineRule="exact"/>
        <w:ind w:left="105" w:leftChars="50" w:firstLine="491" w:firstLineChars="20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1．属于保修范围、内容的项目，</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应当在接到保修通知之日起2天内派人保修。</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不在约定期限内派人保修的，</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可以委托他人修理。</w:t>
      </w:r>
    </w:p>
    <w:p w14:paraId="6D7DE33D">
      <w:pPr>
        <w:keepNext w:val="0"/>
        <w:keepLines w:val="0"/>
        <w:pageBreakBefore w:val="0"/>
        <w:widowControl w:val="0"/>
        <w:kinsoku/>
        <w:wordWrap/>
        <w:overflowPunct/>
        <w:topLinePunct w:val="0"/>
        <w:autoSpaceDE w:val="0"/>
        <w:autoSpaceDN w:val="0"/>
        <w:bidi w:val="0"/>
        <w:spacing w:line="500" w:lineRule="exact"/>
        <w:ind w:left="105" w:leftChars="50" w:firstLine="491" w:firstLineChars="20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2．发生紧急事故需抢修的，</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在接到事故通知后，应当立即到达事故现场抢修。</w:t>
      </w:r>
    </w:p>
    <w:p w14:paraId="619CDA0E">
      <w:pPr>
        <w:keepNext w:val="0"/>
        <w:keepLines w:val="0"/>
        <w:pageBreakBefore w:val="0"/>
        <w:widowControl w:val="0"/>
        <w:kinsoku/>
        <w:wordWrap/>
        <w:overflowPunct/>
        <w:topLinePunct w:val="0"/>
        <w:autoSpaceDE w:val="0"/>
        <w:autoSpaceDN w:val="0"/>
        <w:bidi w:val="0"/>
        <w:spacing w:line="500" w:lineRule="exact"/>
        <w:ind w:left="105" w:leftChars="50" w:firstLine="491" w:firstLineChars="20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实施保修。</w:t>
      </w:r>
    </w:p>
    <w:p w14:paraId="00F5F4B6">
      <w:pPr>
        <w:keepNext w:val="0"/>
        <w:keepLines w:val="0"/>
        <w:pageBreakBefore w:val="0"/>
        <w:widowControl w:val="0"/>
        <w:kinsoku/>
        <w:wordWrap/>
        <w:overflowPunct/>
        <w:topLinePunct w:val="0"/>
        <w:autoSpaceDE w:val="0"/>
        <w:autoSpaceDN w:val="0"/>
        <w:bidi w:val="0"/>
        <w:spacing w:line="500" w:lineRule="exact"/>
        <w:ind w:left="420" w:leftChars="200" w:firstLine="120" w:firstLine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4．质量保修完成后，由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组织验收。</w:t>
      </w:r>
    </w:p>
    <w:p w14:paraId="248E9892">
      <w:pPr>
        <w:keepNext w:val="0"/>
        <w:keepLines w:val="0"/>
        <w:pageBreakBefore w:val="0"/>
        <w:widowControl w:val="0"/>
        <w:kinsoku/>
        <w:wordWrap/>
        <w:overflowPunct/>
        <w:topLinePunct w:val="0"/>
        <w:autoSpaceDE w:val="0"/>
        <w:autoSpaceDN w:val="0"/>
        <w:bidi w:val="0"/>
        <w:spacing w:line="500" w:lineRule="exac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bookmarkStart w:id="160" w:name="_Toc8699"/>
      <w:r>
        <w:rPr>
          <w:rFonts w:hint="eastAsia" w:ascii="宋体" w:hAnsi="宋体" w:eastAsia="宋体" w:cs="宋体"/>
          <w:color w:val="auto"/>
          <w:sz w:val="24"/>
          <w:szCs w:val="24"/>
          <w:highlight w:val="none"/>
        </w:rPr>
        <w:t>五、保修费用</w:t>
      </w:r>
      <w:bookmarkEnd w:id="160"/>
    </w:p>
    <w:p w14:paraId="6EBEEC18">
      <w:pPr>
        <w:keepNext w:val="0"/>
        <w:keepLines w:val="0"/>
        <w:pageBreakBefore w:val="0"/>
        <w:widowControl w:val="0"/>
        <w:kinsoku/>
        <w:wordWrap/>
        <w:overflowPunct/>
        <w:topLinePunct w:val="0"/>
        <w:autoSpaceDE w:val="0"/>
        <w:autoSpaceDN w:val="0"/>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保修费用由造成质量缺陷的责任方承担。</w:t>
      </w:r>
    </w:p>
    <w:p w14:paraId="705D1BC0">
      <w:pPr>
        <w:keepNext w:val="0"/>
        <w:keepLines w:val="0"/>
        <w:pageBreakBefore w:val="0"/>
        <w:widowControl w:val="0"/>
        <w:kinsoku/>
        <w:wordWrap/>
        <w:overflowPunct/>
        <w:topLinePunct w:val="0"/>
        <w:autoSpaceDE w:val="0"/>
        <w:autoSpaceDN w:val="0"/>
        <w:bidi w:val="0"/>
        <w:spacing w:line="50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w:t>
      </w:r>
      <w:r>
        <w:rPr>
          <w:rFonts w:hint="eastAsia" w:ascii="宋体" w:hAnsi="宋体" w:eastAsia="宋体" w:cs="宋体"/>
          <w:color w:val="auto"/>
          <w:sz w:val="24"/>
          <w:szCs w:val="24"/>
          <w:highlight w:val="none"/>
        </w:rPr>
        <w:t>、双方约定的其他工程质量保修事项：</w:t>
      </w:r>
      <w:r>
        <w:rPr>
          <w:rFonts w:hint="eastAsia" w:ascii="宋体" w:hAnsi="宋体" w:eastAsia="宋体" w:cs="宋体"/>
          <w:color w:val="auto"/>
          <w:sz w:val="24"/>
          <w:szCs w:val="24"/>
          <w:highlight w:val="none"/>
          <w:u w:val="single"/>
          <w:lang w:eastAsia="zh-CN"/>
        </w:rPr>
        <w:t>乙方</w:t>
      </w:r>
      <w:r>
        <w:rPr>
          <w:rFonts w:hint="eastAsia" w:ascii="宋体" w:hAnsi="宋体" w:eastAsia="宋体" w:cs="宋体"/>
          <w:color w:val="auto"/>
          <w:sz w:val="24"/>
          <w:szCs w:val="24"/>
          <w:highlight w:val="none"/>
          <w:u w:val="single"/>
        </w:rPr>
        <w:t>收到保修通知并到达工程现场的合理时间：</w:t>
      </w:r>
      <w:r>
        <w:rPr>
          <w:rFonts w:hint="eastAsia" w:ascii="宋体" w:hAnsi="宋体" w:eastAsia="宋体" w:cs="宋体"/>
          <w:color w:val="auto"/>
          <w:kern w:val="0"/>
          <w:sz w:val="24"/>
          <w:szCs w:val="24"/>
          <w:highlight w:val="none"/>
          <w:u w:val="single"/>
        </w:rPr>
        <w:t>1、属于保修范围、内容的项目，</w:t>
      </w:r>
      <w:r>
        <w:rPr>
          <w:rFonts w:hint="eastAsia" w:ascii="宋体" w:hAnsi="宋体" w:eastAsia="宋体" w:cs="宋体"/>
          <w:color w:val="auto"/>
          <w:kern w:val="0"/>
          <w:sz w:val="24"/>
          <w:szCs w:val="24"/>
          <w:highlight w:val="none"/>
          <w:u w:val="single"/>
          <w:lang w:eastAsia="zh-CN"/>
        </w:rPr>
        <w:t>乙方</w:t>
      </w:r>
      <w:r>
        <w:rPr>
          <w:rFonts w:hint="eastAsia" w:ascii="宋体" w:hAnsi="宋体" w:eastAsia="宋体" w:cs="宋体"/>
          <w:color w:val="auto"/>
          <w:kern w:val="0"/>
          <w:sz w:val="24"/>
          <w:szCs w:val="24"/>
          <w:highlight w:val="none"/>
          <w:u w:val="single"/>
        </w:rPr>
        <w:t>应当在接到保修通知之日起2 天内派人保修。</w:t>
      </w:r>
      <w:r>
        <w:rPr>
          <w:rFonts w:hint="eastAsia" w:ascii="宋体" w:hAnsi="宋体" w:eastAsia="宋体" w:cs="宋体"/>
          <w:color w:val="auto"/>
          <w:kern w:val="0"/>
          <w:sz w:val="24"/>
          <w:szCs w:val="24"/>
          <w:highlight w:val="none"/>
          <w:u w:val="single"/>
          <w:lang w:eastAsia="zh-CN"/>
        </w:rPr>
        <w:t>乙方</w:t>
      </w:r>
      <w:r>
        <w:rPr>
          <w:rFonts w:hint="eastAsia" w:ascii="宋体" w:hAnsi="宋体" w:eastAsia="宋体" w:cs="宋体"/>
          <w:color w:val="auto"/>
          <w:kern w:val="0"/>
          <w:sz w:val="24"/>
          <w:szCs w:val="24"/>
          <w:highlight w:val="none"/>
          <w:u w:val="single"/>
        </w:rPr>
        <w:t>不在约定期限内派人保修的，</w:t>
      </w:r>
      <w:r>
        <w:rPr>
          <w:rFonts w:hint="eastAsia" w:ascii="宋体" w:hAnsi="宋体" w:eastAsia="宋体" w:cs="宋体"/>
          <w:color w:val="auto"/>
          <w:kern w:val="0"/>
          <w:sz w:val="24"/>
          <w:szCs w:val="24"/>
          <w:highlight w:val="none"/>
          <w:u w:val="single"/>
          <w:lang w:eastAsia="zh-CN"/>
        </w:rPr>
        <w:t>甲方</w:t>
      </w:r>
      <w:r>
        <w:rPr>
          <w:rFonts w:hint="eastAsia" w:ascii="宋体" w:hAnsi="宋体" w:eastAsia="宋体" w:cs="宋体"/>
          <w:color w:val="auto"/>
          <w:kern w:val="0"/>
          <w:sz w:val="24"/>
          <w:szCs w:val="24"/>
          <w:highlight w:val="none"/>
          <w:u w:val="single"/>
        </w:rPr>
        <w:t>可以委托他人修理。2、发生紧急抢修事故的，</w:t>
      </w:r>
      <w:r>
        <w:rPr>
          <w:rFonts w:hint="eastAsia" w:ascii="宋体" w:hAnsi="宋体" w:eastAsia="宋体" w:cs="宋体"/>
          <w:color w:val="auto"/>
          <w:kern w:val="0"/>
          <w:sz w:val="24"/>
          <w:szCs w:val="24"/>
          <w:highlight w:val="none"/>
          <w:u w:val="single"/>
          <w:lang w:eastAsia="zh-CN"/>
        </w:rPr>
        <w:t>乙方</w:t>
      </w:r>
      <w:r>
        <w:rPr>
          <w:rFonts w:hint="eastAsia" w:ascii="宋体" w:hAnsi="宋体" w:eastAsia="宋体" w:cs="宋体"/>
          <w:color w:val="auto"/>
          <w:kern w:val="0"/>
          <w:sz w:val="24"/>
          <w:szCs w:val="24"/>
          <w:highlight w:val="none"/>
          <w:u w:val="single"/>
        </w:rPr>
        <w:t>在接到事故通知后，应当立即到达事故现场抢修；</w:t>
      </w:r>
      <w:r>
        <w:rPr>
          <w:rFonts w:hint="eastAsia" w:ascii="宋体" w:hAnsi="宋体" w:eastAsia="宋体" w:cs="宋体"/>
          <w:color w:val="auto"/>
          <w:kern w:val="0"/>
          <w:sz w:val="24"/>
          <w:szCs w:val="24"/>
          <w:highlight w:val="none"/>
          <w:u w:val="single"/>
          <w:lang w:eastAsia="zh-CN"/>
        </w:rPr>
        <w:t>乙方</w:t>
      </w:r>
      <w:r>
        <w:rPr>
          <w:rFonts w:hint="eastAsia" w:ascii="宋体" w:hAnsi="宋体" w:eastAsia="宋体" w:cs="宋体"/>
          <w:color w:val="auto"/>
          <w:kern w:val="0"/>
          <w:sz w:val="24"/>
          <w:szCs w:val="24"/>
          <w:highlight w:val="none"/>
          <w:u w:val="single"/>
        </w:rPr>
        <w:t>不按时派人保修的，</w:t>
      </w:r>
      <w:r>
        <w:rPr>
          <w:rFonts w:hint="eastAsia" w:ascii="宋体" w:hAnsi="宋体" w:eastAsia="宋体" w:cs="宋体"/>
          <w:color w:val="auto"/>
          <w:kern w:val="0"/>
          <w:sz w:val="24"/>
          <w:szCs w:val="24"/>
          <w:highlight w:val="none"/>
          <w:u w:val="single"/>
          <w:lang w:eastAsia="zh-CN"/>
        </w:rPr>
        <w:t>甲方</w:t>
      </w:r>
      <w:r>
        <w:rPr>
          <w:rFonts w:hint="eastAsia" w:ascii="宋体" w:hAnsi="宋体" w:eastAsia="宋体" w:cs="宋体"/>
          <w:color w:val="auto"/>
          <w:kern w:val="0"/>
          <w:sz w:val="24"/>
          <w:szCs w:val="24"/>
          <w:highlight w:val="none"/>
          <w:u w:val="single"/>
        </w:rPr>
        <w:t>可以委托他人修理，所发生的费用由</w:t>
      </w:r>
      <w:r>
        <w:rPr>
          <w:rFonts w:hint="eastAsia" w:ascii="宋体" w:hAnsi="宋体" w:eastAsia="宋体" w:cs="宋体"/>
          <w:color w:val="auto"/>
          <w:kern w:val="0"/>
          <w:sz w:val="24"/>
          <w:szCs w:val="24"/>
          <w:highlight w:val="none"/>
          <w:u w:val="single"/>
          <w:lang w:eastAsia="zh-CN"/>
        </w:rPr>
        <w:t>乙方</w:t>
      </w:r>
      <w:r>
        <w:rPr>
          <w:rFonts w:hint="eastAsia" w:ascii="宋体" w:hAnsi="宋体" w:eastAsia="宋体" w:cs="宋体"/>
          <w:color w:val="auto"/>
          <w:kern w:val="0"/>
          <w:sz w:val="24"/>
          <w:szCs w:val="24"/>
          <w:highlight w:val="none"/>
          <w:u w:val="single"/>
        </w:rPr>
        <w:t>承担</w:t>
      </w:r>
      <w:r>
        <w:rPr>
          <w:rFonts w:hint="eastAsia" w:ascii="宋体" w:hAnsi="宋体" w:eastAsia="宋体" w:cs="宋体"/>
          <w:color w:val="auto"/>
          <w:sz w:val="24"/>
          <w:szCs w:val="24"/>
          <w:highlight w:val="none"/>
        </w:rPr>
        <w:t>。</w:t>
      </w:r>
    </w:p>
    <w:p w14:paraId="2171F17A">
      <w:pPr>
        <w:keepNext w:val="0"/>
        <w:keepLines w:val="0"/>
        <w:pageBreakBefore w:val="0"/>
        <w:widowControl w:val="0"/>
        <w:kinsoku/>
        <w:wordWrap/>
        <w:overflowPunct/>
        <w:topLinePunct w:val="0"/>
        <w:autoSpaceDE w:val="0"/>
        <w:autoSpaceDN w:val="0"/>
        <w:bidi w:val="0"/>
        <w:spacing w:line="500" w:lineRule="exact"/>
        <w:ind w:firstLine="456" w:firstLineChars="19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工程质量保修书由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在工程竣工验收前共同签署，作为施工合同附件，其有效期限至保修期满。</w:t>
      </w:r>
    </w:p>
    <w:p w14:paraId="5EB418CB">
      <w:pPr>
        <w:keepNext w:val="0"/>
        <w:keepLines w:val="0"/>
        <w:pageBreakBefore w:val="0"/>
        <w:widowControl w:val="0"/>
        <w:kinsoku/>
        <w:wordWrap/>
        <w:overflowPunct/>
        <w:topLinePunct w:val="0"/>
        <w:autoSpaceDE w:val="0"/>
        <w:autoSpaceDN w:val="0"/>
        <w:bidi w:val="0"/>
        <w:spacing w:line="500" w:lineRule="exact"/>
        <w:ind w:firstLine="420"/>
        <w:textAlignment w:val="auto"/>
        <w:rPr>
          <w:rFonts w:hint="eastAsia" w:ascii="宋体" w:hAnsi="宋体" w:eastAsia="宋体" w:cs="宋体"/>
          <w:color w:val="auto"/>
          <w:sz w:val="24"/>
          <w:szCs w:val="24"/>
          <w:highlight w:val="none"/>
        </w:rPr>
      </w:pPr>
    </w:p>
    <w:p w14:paraId="73DF38D9">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（盖章）：</w:t>
      </w:r>
    </w:p>
    <w:p w14:paraId="4D26D3EC">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p>
    <w:p w14:paraId="583CA869">
      <w:pPr>
        <w:keepNext w:val="0"/>
        <w:keepLines w:val="0"/>
        <w:pageBreakBefore w:val="0"/>
        <w:widowControl w:val="0"/>
        <w:tabs>
          <w:tab w:val="left" w:pos="1995"/>
        </w:tabs>
        <w:kinsoku/>
        <w:wordWrap/>
        <w:overflowPunct/>
        <w:topLinePunct w:val="0"/>
        <w:autoSpaceDE w:val="0"/>
        <w:autoSpaceDN w:val="0"/>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被授权</w:t>
      </w:r>
      <w:r>
        <w:rPr>
          <w:rFonts w:hint="eastAsia" w:ascii="宋体" w:hAnsi="宋体" w:eastAsia="宋体" w:cs="宋体"/>
          <w:color w:val="auto"/>
          <w:sz w:val="24"/>
          <w:szCs w:val="24"/>
          <w:highlight w:val="none"/>
        </w:rPr>
        <w:t>代理人（签字或盖章）：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val="en-US" w:eastAsia="zh-CN"/>
        </w:rPr>
        <w:t>被授权</w:t>
      </w:r>
      <w:r>
        <w:rPr>
          <w:rFonts w:hint="eastAsia" w:ascii="宋体" w:hAnsi="宋体" w:eastAsia="宋体" w:cs="宋体"/>
          <w:color w:val="auto"/>
          <w:sz w:val="24"/>
          <w:szCs w:val="24"/>
          <w:highlight w:val="none"/>
        </w:rPr>
        <w:t>代理人（签字或盖章）：</w:t>
      </w:r>
    </w:p>
    <w:p w14:paraId="11E6C5EE">
      <w:pPr>
        <w:pStyle w:val="23"/>
        <w:keepNext w:val="0"/>
        <w:keepLines w:val="0"/>
        <w:pageBreakBefore w:val="0"/>
        <w:widowControl w:val="0"/>
        <w:kinsoku/>
        <w:wordWrap/>
        <w:overflowPunct/>
        <w:topLinePunct w:val="0"/>
        <w:autoSpaceDE w:val="0"/>
        <w:autoSpaceDN w:val="0"/>
        <w:bidi w:val="0"/>
        <w:spacing w:line="500" w:lineRule="exact"/>
        <w:textAlignment w:val="auto"/>
        <w:rPr>
          <w:rFonts w:hint="eastAsia" w:ascii="宋体" w:hAnsi="宋体" w:eastAsia="宋体" w:cs="宋体"/>
          <w:color w:val="auto"/>
          <w:sz w:val="24"/>
          <w:szCs w:val="24"/>
          <w:highlight w:val="none"/>
          <w:lang w:val="en-US" w:eastAsia="zh-CN"/>
        </w:rPr>
        <w:sectPr>
          <w:footerReference r:id="rId5" w:type="first"/>
          <w:footerReference r:id="rId4" w:type="default"/>
          <w:pgSz w:w="11906" w:h="16838"/>
          <w:pgMar w:top="1417" w:right="1417" w:bottom="1417" w:left="1417" w:header="851" w:footer="850" w:gutter="0"/>
          <w:pgNumType w:fmt="decimal" w:start="1"/>
          <w:cols w:space="720" w:num="1"/>
          <w:titlePg/>
          <w:docGrid w:linePitch="312" w:charSpace="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w:t>
      </w:r>
    </w:p>
    <w:p w14:paraId="7051C414">
      <w:pPr>
        <w:snapToGrid w:val="0"/>
        <w:spacing w:line="240" w:lineRule="atLeast"/>
        <w:jc w:val="center"/>
        <w:rPr>
          <w:rFonts w:ascii="宋体" w:hAnsi="宋体" w:cs="方正仿宋简体"/>
          <w:b/>
          <w:bCs w:val="0"/>
          <w:color w:val="auto"/>
          <w:sz w:val="30"/>
          <w:szCs w:val="30"/>
          <w:highlight w:val="none"/>
        </w:rPr>
      </w:pPr>
      <w:r>
        <w:rPr>
          <w:rFonts w:hint="eastAsia" w:ascii="宋体" w:hAnsi="宋体" w:cs="方正仿宋简体"/>
          <w:b/>
          <w:bCs w:val="0"/>
          <w:color w:val="auto"/>
          <w:sz w:val="30"/>
          <w:szCs w:val="30"/>
          <w:highlight w:val="none"/>
          <w:lang w:val="en-US" w:eastAsia="zh-CN"/>
        </w:rPr>
        <w:t xml:space="preserve"> </w:t>
      </w:r>
      <w:r>
        <w:rPr>
          <w:rFonts w:hint="eastAsia" w:ascii="宋体" w:hAnsi="宋体" w:cs="方正仿宋简体"/>
          <w:b/>
          <w:bCs w:val="0"/>
          <w:color w:val="auto"/>
          <w:sz w:val="30"/>
          <w:szCs w:val="30"/>
          <w:highlight w:val="none"/>
        </w:rPr>
        <w:t>关于不拖欠农民工工资的承诺书</w:t>
      </w:r>
    </w:p>
    <w:p w14:paraId="4BFFA8EF">
      <w:pPr>
        <w:rPr>
          <w:color w:val="auto"/>
          <w:sz w:val="24"/>
          <w:highlight w:val="none"/>
        </w:rPr>
      </w:pPr>
    </w:p>
    <w:p w14:paraId="4AAD2B52">
      <w:pPr>
        <w:rPr>
          <w:color w:val="auto"/>
          <w:sz w:val="24"/>
          <w:highlight w:val="none"/>
        </w:rPr>
      </w:pPr>
    </w:p>
    <w:p w14:paraId="46E7B439">
      <w:pPr>
        <w:snapToGrid w:val="0"/>
        <w:spacing w:line="240" w:lineRule="atLeast"/>
        <w:jc w:val="center"/>
        <w:rPr>
          <w:rFonts w:ascii="宋体" w:hAnsi="宋体" w:cs="方正仿宋简体"/>
          <w:bCs/>
          <w:color w:val="auto"/>
          <w:sz w:val="21"/>
          <w:szCs w:val="21"/>
          <w:highlight w:val="none"/>
        </w:rPr>
      </w:pPr>
    </w:p>
    <w:p w14:paraId="5B7DF7DD">
      <w:pPr>
        <w:spacing w:line="560" w:lineRule="exact"/>
        <w:rPr>
          <w:rFonts w:ascii="宋体" w:hAnsi="宋体" w:cs="仿宋"/>
          <w:color w:val="auto"/>
          <w:kern w:val="0"/>
          <w:sz w:val="24"/>
          <w:szCs w:val="24"/>
          <w:highlight w:val="none"/>
        </w:rPr>
      </w:pPr>
      <w:r>
        <w:rPr>
          <w:rFonts w:hint="eastAsia" w:ascii="宋体" w:hAnsi="宋体"/>
          <w:b/>
          <w:bCs/>
          <w:color w:val="auto"/>
          <w:sz w:val="24"/>
          <w:szCs w:val="24"/>
          <w:highlight w:val="none"/>
          <w:u w:val="single"/>
          <w:lang w:eastAsia="zh-CN"/>
        </w:rPr>
        <w:t>盐城市亭湖区盐东镇人民政府</w:t>
      </w:r>
      <w:r>
        <w:rPr>
          <w:rFonts w:hint="eastAsia" w:ascii="宋体" w:hAnsi="宋体" w:cs="仿宋"/>
          <w:color w:val="auto"/>
          <w:kern w:val="0"/>
          <w:sz w:val="24"/>
          <w:szCs w:val="24"/>
          <w:highlight w:val="none"/>
        </w:rPr>
        <w:t>：</w:t>
      </w:r>
    </w:p>
    <w:p w14:paraId="0036971B">
      <w:pPr>
        <w:spacing w:line="560" w:lineRule="exact"/>
        <w:ind w:firstLine="480" w:firstLineChars="200"/>
        <w:rPr>
          <w:rFonts w:ascii="宋体" w:hAnsi="宋体" w:cs="仿宋"/>
          <w:color w:val="auto"/>
          <w:kern w:val="0"/>
          <w:sz w:val="24"/>
          <w:szCs w:val="24"/>
          <w:highlight w:val="none"/>
        </w:rPr>
      </w:pPr>
      <w:r>
        <w:rPr>
          <w:rFonts w:hint="eastAsia" w:ascii="宋体" w:hAnsi="宋体" w:cs="仿宋"/>
          <w:color w:val="auto"/>
          <w:kern w:val="0"/>
          <w:sz w:val="24"/>
          <w:szCs w:val="24"/>
          <w:highlight w:val="none"/>
        </w:rPr>
        <w:t>贵方实施的</w:t>
      </w:r>
      <w:r>
        <w:rPr>
          <w:rFonts w:hint="eastAsia" w:ascii="宋体" w:hAnsi="宋体" w:cs="宋体"/>
          <w:color w:val="auto"/>
          <w:sz w:val="24"/>
          <w:szCs w:val="24"/>
          <w:highlight w:val="none"/>
          <w:u w:val="single"/>
          <w:lang w:val="en-US" w:eastAsia="zh-CN"/>
        </w:rPr>
        <w:t xml:space="preserve">                               </w:t>
      </w:r>
      <w:r>
        <w:rPr>
          <w:rFonts w:hint="eastAsia" w:ascii="宋体" w:hAnsi="宋体" w:cs="仿宋"/>
          <w:color w:val="auto"/>
          <w:kern w:val="0"/>
          <w:sz w:val="24"/>
          <w:szCs w:val="24"/>
          <w:highlight w:val="none"/>
        </w:rPr>
        <w:t>，我单位已中</w:t>
      </w:r>
      <w:r>
        <w:rPr>
          <w:rFonts w:hint="eastAsia" w:ascii="宋体" w:hAnsi="宋体" w:cs="仿宋"/>
          <w:color w:val="auto"/>
          <w:sz w:val="24"/>
          <w:szCs w:val="24"/>
          <w:highlight w:val="none"/>
        </w:rPr>
        <w:t>标</w:t>
      </w:r>
      <w:r>
        <w:rPr>
          <w:rFonts w:hint="eastAsia" w:ascii="宋体" w:hAnsi="宋体" w:cs="仿宋"/>
          <w:color w:val="auto"/>
          <w:kern w:val="0"/>
          <w:sz w:val="24"/>
          <w:szCs w:val="24"/>
          <w:highlight w:val="none"/>
        </w:rPr>
        <w:t>。我方郑重承诺：我方将保障农民工的权益，不拖欠农民工工资。若我方拖欠农民工工资，你方有权在进度款中扣除相应款项，用于直接支付农民工工资。</w:t>
      </w:r>
    </w:p>
    <w:p w14:paraId="07A19D7D">
      <w:pPr>
        <w:spacing w:line="360" w:lineRule="auto"/>
        <w:ind w:firstLine="360" w:firstLineChars="150"/>
        <w:rPr>
          <w:rFonts w:ascii="宋体" w:hAnsi="宋体" w:cs="仿宋"/>
          <w:color w:val="auto"/>
          <w:kern w:val="0"/>
          <w:sz w:val="24"/>
          <w:szCs w:val="24"/>
          <w:highlight w:val="none"/>
        </w:rPr>
      </w:pPr>
    </w:p>
    <w:p w14:paraId="4BBFB716">
      <w:pPr>
        <w:spacing w:line="360" w:lineRule="auto"/>
        <w:ind w:firstLine="360" w:firstLineChars="150"/>
        <w:rPr>
          <w:rFonts w:hint="eastAsia" w:ascii="宋体" w:hAnsi="宋体" w:cs="仿宋"/>
          <w:color w:val="auto"/>
          <w:kern w:val="0"/>
          <w:sz w:val="24"/>
          <w:szCs w:val="24"/>
          <w:highlight w:val="none"/>
        </w:rPr>
      </w:pPr>
    </w:p>
    <w:p w14:paraId="6CE6017C">
      <w:pPr>
        <w:pStyle w:val="23"/>
        <w:rPr>
          <w:rFonts w:hint="eastAsia"/>
          <w:color w:val="auto"/>
          <w:sz w:val="24"/>
          <w:szCs w:val="24"/>
          <w:highlight w:val="none"/>
        </w:rPr>
      </w:pPr>
    </w:p>
    <w:p w14:paraId="376D249B">
      <w:pPr>
        <w:pStyle w:val="23"/>
        <w:rPr>
          <w:color w:val="auto"/>
          <w:sz w:val="24"/>
          <w:szCs w:val="24"/>
          <w:highlight w:val="none"/>
        </w:rPr>
      </w:pPr>
    </w:p>
    <w:p w14:paraId="448C24D8">
      <w:pPr>
        <w:spacing w:line="360" w:lineRule="auto"/>
        <w:ind w:right="420" w:firstLine="360" w:firstLineChars="150"/>
        <w:rPr>
          <w:rFonts w:hint="eastAsia" w:ascii="宋体" w:hAnsi="宋体" w:cs="仿宋"/>
          <w:color w:val="auto"/>
          <w:kern w:val="0"/>
          <w:sz w:val="24"/>
          <w:szCs w:val="24"/>
          <w:highlight w:val="none"/>
        </w:rPr>
      </w:pPr>
      <w:r>
        <w:rPr>
          <w:rFonts w:hint="eastAsia" w:ascii="宋体" w:hAnsi="宋体" w:cs="仿宋"/>
          <w:color w:val="auto"/>
          <w:kern w:val="0"/>
          <w:sz w:val="24"/>
          <w:szCs w:val="24"/>
          <w:highlight w:val="none"/>
        </w:rPr>
        <w:t xml:space="preserve">                       </w:t>
      </w:r>
      <w:r>
        <w:rPr>
          <w:rFonts w:hint="eastAsia" w:ascii="宋体" w:hAnsi="宋体" w:cs="仿宋"/>
          <w:color w:val="auto"/>
          <w:kern w:val="0"/>
          <w:sz w:val="24"/>
          <w:szCs w:val="24"/>
          <w:highlight w:val="none"/>
          <w:lang w:eastAsia="zh-CN"/>
        </w:rPr>
        <w:t>承包人</w:t>
      </w:r>
      <w:r>
        <w:rPr>
          <w:rFonts w:hint="eastAsia" w:ascii="宋体" w:hAnsi="宋体" w:cs="仿宋"/>
          <w:color w:val="auto"/>
          <w:kern w:val="0"/>
          <w:sz w:val="24"/>
          <w:szCs w:val="24"/>
          <w:highlight w:val="none"/>
        </w:rPr>
        <w:t xml:space="preserve">：（盖单位公章） </w:t>
      </w:r>
    </w:p>
    <w:p w14:paraId="3565E00C">
      <w:pPr>
        <w:pStyle w:val="23"/>
        <w:rPr>
          <w:rFonts w:hint="eastAsia" w:ascii="宋体" w:hAnsi="宋体" w:cs="仿宋"/>
          <w:color w:val="auto"/>
          <w:kern w:val="0"/>
          <w:sz w:val="24"/>
          <w:szCs w:val="24"/>
          <w:highlight w:val="none"/>
        </w:rPr>
      </w:pPr>
    </w:p>
    <w:p w14:paraId="3FA158FD">
      <w:pPr>
        <w:pStyle w:val="23"/>
        <w:rPr>
          <w:rFonts w:hint="eastAsia" w:ascii="宋体" w:hAnsi="宋体" w:cs="仿宋"/>
          <w:color w:val="auto"/>
          <w:kern w:val="0"/>
          <w:sz w:val="24"/>
          <w:szCs w:val="24"/>
          <w:highlight w:val="none"/>
        </w:rPr>
      </w:pPr>
    </w:p>
    <w:p w14:paraId="51BB98D3">
      <w:pPr>
        <w:spacing w:line="360" w:lineRule="auto"/>
        <w:ind w:right="840" w:firstLine="3120" w:firstLineChars="1300"/>
        <w:rPr>
          <w:rFonts w:ascii="宋体" w:hAnsi="宋体" w:cs="仿宋"/>
          <w:color w:val="auto"/>
          <w:kern w:val="0"/>
          <w:sz w:val="24"/>
          <w:szCs w:val="24"/>
          <w:highlight w:val="none"/>
        </w:rPr>
      </w:pPr>
      <w:r>
        <w:rPr>
          <w:rFonts w:hint="eastAsia" w:ascii="宋体" w:hAnsi="宋体" w:cs="仿宋"/>
          <w:color w:val="auto"/>
          <w:kern w:val="0"/>
          <w:sz w:val="24"/>
          <w:szCs w:val="24"/>
          <w:highlight w:val="none"/>
        </w:rPr>
        <w:t>法定代表人或委托代理人：（</w:t>
      </w:r>
      <w:r>
        <w:rPr>
          <w:rFonts w:hint="eastAsia" w:ascii="宋体" w:hAnsi="宋体"/>
          <w:color w:val="auto"/>
          <w:sz w:val="24"/>
          <w:szCs w:val="24"/>
          <w:highlight w:val="none"/>
        </w:rPr>
        <w:t>签字或盖章</w:t>
      </w:r>
      <w:r>
        <w:rPr>
          <w:rFonts w:hint="eastAsia" w:ascii="宋体" w:hAnsi="宋体" w:cs="仿宋"/>
          <w:color w:val="auto"/>
          <w:kern w:val="0"/>
          <w:sz w:val="24"/>
          <w:szCs w:val="24"/>
          <w:highlight w:val="none"/>
        </w:rPr>
        <w:t>）</w:t>
      </w:r>
    </w:p>
    <w:p w14:paraId="1490679B">
      <w:pPr>
        <w:ind w:right="1540"/>
        <w:jc w:val="right"/>
        <w:rPr>
          <w:rFonts w:hint="eastAsia" w:cs="仿宋"/>
          <w:color w:val="auto"/>
          <w:sz w:val="24"/>
          <w:szCs w:val="24"/>
          <w:highlight w:val="none"/>
          <w:u w:val="single"/>
          <w:lang w:val="en-US" w:eastAsia="zh-CN"/>
        </w:rPr>
      </w:pPr>
    </w:p>
    <w:p w14:paraId="2B7DAB83">
      <w:pPr>
        <w:ind w:right="1540" w:firstLine="3480" w:firstLineChars="1450"/>
        <w:jc w:val="right"/>
        <w:rPr>
          <w:rFonts w:ascii="宋体" w:hAnsi="宋体" w:cs="仿宋"/>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cs="仿宋"/>
          <w:color w:val="auto"/>
          <w:sz w:val="24"/>
          <w:szCs w:val="24"/>
          <w:highlight w:val="none"/>
        </w:rPr>
        <w:t>年</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月</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日</w:t>
      </w:r>
    </w:p>
    <w:p w14:paraId="3DD048FA">
      <w:pPr>
        <w:pStyle w:val="15"/>
        <w:spacing w:before="120" w:beforeAutospacing="0" w:after="120" w:afterAutospacing="0" w:line="0" w:lineRule="atLeast"/>
        <w:jc w:val="center"/>
        <w:rPr>
          <w:rFonts w:hint="eastAsia" w:ascii="黑体" w:hAnsi="宋体" w:eastAsia="黑体" w:cs="黑体"/>
          <w:color w:val="auto"/>
          <w:sz w:val="44"/>
          <w:szCs w:val="44"/>
          <w:highlight w:val="none"/>
        </w:rPr>
      </w:pPr>
      <w:bookmarkStart w:id="161" w:name="_Toc479757211"/>
      <w:bookmarkStart w:id="162" w:name="_Toc462564139"/>
      <w:bookmarkStart w:id="163" w:name="_Toc120614244"/>
      <w:bookmarkStart w:id="164" w:name="_Toc16938590"/>
      <w:bookmarkStart w:id="165" w:name="_Toc20823346"/>
      <w:bookmarkStart w:id="166" w:name="_Hlt16619369"/>
      <w:bookmarkStart w:id="167" w:name="_Hlt16619350"/>
    </w:p>
    <w:p w14:paraId="2B2714B3">
      <w:pPr>
        <w:pStyle w:val="15"/>
        <w:spacing w:before="120" w:beforeAutospacing="0" w:after="120" w:afterAutospacing="0" w:line="0" w:lineRule="atLeast"/>
        <w:jc w:val="center"/>
        <w:rPr>
          <w:rFonts w:hint="eastAsia" w:ascii="黑体" w:hAnsi="宋体" w:eastAsia="黑体" w:cs="黑体"/>
          <w:color w:val="auto"/>
          <w:sz w:val="44"/>
          <w:szCs w:val="44"/>
          <w:highlight w:val="none"/>
        </w:rPr>
      </w:pPr>
    </w:p>
    <w:p w14:paraId="1B466788">
      <w:pPr>
        <w:pStyle w:val="15"/>
        <w:spacing w:before="120" w:beforeAutospacing="0" w:after="120" w:afterAutospacing="0" w:line="0" w:lineRule="atLeast"/>
        <w:jc w:val="center"/>
        <w:rPr>
          <w:rFonts w:hint="eastAsia" w:ascii="黑体" w:hAnsi="宋体" w:eastAsia="黑体" w:cs="黑体"/>
          <w:color w:val="auto"/>
          <w:sz w:val="44"/>
          <w:szCs w:val="44"/>
          <w:highlight w:val="none"/>
        </w:rPr>
      </w:pPr>
    </w:p>
    <w:p w14:paraId="3EF09CB3">
      <w:pPr>
        <w:pStyle w:val="15"/>
        <w:spacing w:before="120" w:beforeAutospacing="0" w:after="120" w:afterAutospacing="0" w:line="0" w:lineRule="atLeast"/>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w:t>
      </w:r>
    </w:p>
    <w:p w14:paraId="3FBFC327">
      <w:pPr>
        <w:pStyle w:val="15"/>
        <w:spacing w:before="120" w:beforeAutospacing="0" w:after="120" w:afterAutospacing="0" w:line="0" w:lineRule="atLeast"/>
        <w:jc w:val="center"/>
        <w:rPr>
          <w:rFonts w:hint="eastAsia" w:ascii="黑体" w:hAnsi="宋体" w:eastAsia="黑体" w:cs="黑体"/>
          <w:color w:val="auto"/>
          <w:sz w:val="44"/>
          <w:szCs w:val="44"/>
          <w:highlight w:val="none"/>
        </w:rPr>
      </w:pPr>
    </w:p>
    <w:bookmarkEnd w:id="161"/>
    <w:bookmarkEnd w:id="162"/>
    <w:bookmarkEnd w:id="163"/>
    <w:bookmarkEnd w:id="164"/>
    <w:bookmarkEnd w:id="165"/>
    <w:p w14:paraId="1DA9B598">
      <w:pPr>
        <w:pStyle w:val="30"/>
        <w:spacing w:line="440" w:lineRule="exact"/>
        <w:ind w:firstLine="482"/>
        <w:jc w:val="center"/>
        <w:rPr>
          <w:rFonts w:hint="eastAsia"/>
          <w:b/>
          <w:bCs/>
          <w:color w:val="000000" w:themeColor="text1"/>
          <w:sz w:val="36"/>
          <w:szCs w:val="36"/>
          <w14:textFill>
            <w14:solidFill>
              <w14:schemeClr w14:val="tx1"/>
            </w14:solidFill>
          </w14:textFill>
        </w:rPr>
      </w:pPr>
      <w:bookmarkStart w:id="168" w:name="_Toc203032703"/>
      <w:bookmarkStart w:id="169" w:name="_Toc300834969"/>
      <w:bookmarkStart w:id="170" w:name="_Toc152042324"/>
      <w:bookmarkStart w:id="171" w:name="_Toc152045548"/>
      <w:bookmarkStart w:id="172" w:name="_Toc247527573"/>
      <w:bookmarkStart w:id="173" w:name="_Toc144974516"/>
      <w:bookmarkStart w:id="174" w:name="_Toc247513972"/>
    </w:p>
    <w:p w14:paraId="145C5681">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79A514C5">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52EEBE6B">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5BCCA060">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5E515820">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604C2772">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2CB64F66">
      <w:pPr>
        <w:pStyle w:val="30"/>
        <w:spacing w:line="440" w:lineRule="exact"/>
        <w:ind w:firstLine="482"/>
        <w:jc w:val="center"/>
        <w:rPr>
          <w:rFonts w:hint="eastAsia"/>
          <w:b/>
          <w:bCs/>
          <w:color w:val="000000" w:themeColor="text1"/>
          <w:sz w:val="36"/>
          <w:szCs w:val="36"/>
          <w14:textFill>
            <w14:solidFill>
              <w14:schemeClr w14:val="tx1"/>
            </w14:solidFill>
          </w14:textFill>
        </w:rPr>
      </w:pPr>
    </w:p>
    <w:p w14:paraId="6E2A8A38">
      <w:pPr>
        <w:pStyle w:val="30"/>
        <w:spacing w:line="440" w:lineRule="exact"/>
        <w:ind w:firstLine="482"/>
        <w:jc w:val="center"/>
        <w:rPr>
          <w:rFonts w:hint="eastAsia"/>
          <w:color w:val="000000" w:themeColor="text1"/>
          <w:sz w:val="36"/>
          <w:szCs w:val="36"/>
          <w14:textFill>
            <w14:solidFill>
              <w14:schemeClr w14:val="tx1"/>
            </w14:solidFill>
          </w14:textFill>
        </w:rPr>
      </w:pPr>
      <w:r>
        <w:rPr>
          <w:rFonts w:hint="eastAsia"/>
          <w:b/>
          <w:bCs/>
          <w:color w:val="000000" w:themeColor="text1"/>
          <w:sz w:val="36"/>
          <w:szCs w:val="36"/>
          <w14:textFill>
            <w14:solidFill>
              <w14:schemeClr w14:val="tx1"/>
            </w14:solidFill>
          </w14:textFill>
        </w:rPr>
        <w:t>第四章  项目需求</w:t>
      </w:r>
      <w:bookmarkEnd w:id="168"/>
    </w:p>
    <w:p w14:paraId="33951319">
      <w:pPr>
        <w:pStyle w:val="30"/>
        <w:spacing w:line="440" w:lineRule="exact"/>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一、标的内容</w:t>
      </w:r>
    </w:p>
    <w:p w14:paraId="543E8C13">
      <w:pPr>
        <w:spacing w:line="440" w:lineRule="exact"/>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1、项目名称：</w:t>
      </w:r>
      <w:r>
        <w:rPr>
          <w:rFonts w:hint="eastAsia" w:ascii="宋体" w:hAnsi="宋体" w:cs="宋体"/>
          <w:color w:val="000000" w:themeColor="text1"/>
          <w:sz w:val="24"/>
          <w:lang w:eastAsia="zh-CN"/>
          <w14:textFill>
            <w14:solidFill>
              <w14:schemeClr w14:val="tx1"/>
            </w14:solidFill>
          </w14:textFill>
        </w:rPr>
        <w:t>盐东镇农村公路中次差路段大中修工程</w:t>
      </w:r>
    </w:p>
    <w:p w14:paraId="7749398F">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2、建设地点：</w:t>
      </w:r>
      <w:r>
        <w:rPr>
          <w:rFonts w:hint="eastAsia" w:ascii="宋体" w:hAnsi="宋体" w:cs="宋体"/>
          <w:color w:val="000000" w:themeColor="text1"/>
          <w:sz w:val="24"/>
          <w:lang w:eastAsia="zh-CN"/>
          <w14:textFill>
            <w14:solidFill>
              <w14:schemeClr w14:val="tx1"/>
            </w14:solidFill>
          </w14:textFill>
        </w:rPr>
        <w:t>盐东镇境内</w:t>
      </w:r>
      <w:r>
        <w:rPr>
          <w:rFonts w:hint="eastAsia" w:ascii="宋体" w:hAnsi="宋体" w:cs="宋体"/>
          <w:color w:val="000000" w:themeColor="text1"/>
          <w:sz w:val="24"/>
          <w14:textFill>
            <w14:solidFill>
              <w14:schemeClr w14:val="tx1"/>
            </w14:solidFill>
          </w14:textFill>
        </w:rPr>
        <w:t>。</w:t>
      </w:r>
    </w:p>
    <w:p w14:paraId="678C7F8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3、工期要求：</w:t>
      </w:r>
      <w:r>
        <w:rPr>
          <w:rFonts w:hint="eastAsia" w:ascii="宋体" w:hAnsi="宋体" w:cs="宋体"/>
          <w:color w:val="000000" w:themeColor="text1"/>
          <w:sz w:val="24"/>
          <w:lang w:val="en-US" w:eastAsia="zh-CN"/>
          <w14:textFill>
            <w14:solidFill>
              <w14:schemeClr w14:val="tx1"/>
            </w14:solidFill>
          </w14:textFill>
        </w:rPr>
        <w:t>90日历天，</w:t>
      </w:r>
      <w:r>
        <w:rPr>
          <w:rFonts w:hint="eastAsia" w:ascii="宋体" w:hAnsi="宋体" w:cs="宋体"/>
          <w:color w:val="000000" w:themeColor="text1"/>
          <w:sz w:val="24"/>
          <w14:textFill>
            <w14:solidFill>
              <w14:schemeClr w14:val="tx1"/>
            </w14:solidFill>
          </w14:textFill>
        </w:rPr>
        <w:t>具体开工日期以采购人的书面通知为准。</w:t>
      </w:r>
    </w:p>
    <w:p w14:paraId="377536AA">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4、质量标准：工程质量符合国家及地方相关验收规范的“合格”标准，并符合招标人提出的具体质量要求</w:t>
      </w:r>
      <w:r>
        <w:rPr>
          <w:rFonts w:hint="eastAsia" w:ascii="宋体" w:hAnsi="宋体" w:cs="宋体"/>
          <w:color w:val="000000" w:themeColor="text1"/>
          <w:sz w:val="24"/>
          <w:lang w:eastAsia="zh-CN"/>
          <w14:textFill>
            <w14:solidFill>
              <w14:schemeClr w14:val="tx1"/>
            </w14:solidFill>
          </w14:textFill>
        </w:rPr>
        <w:t>；</w:t>
      </w:r>
      <w:r>
        <w:rPr>
          <w:rFonts w:hint="eastAsia" w:cs="宋体" w:asciiTheme="minorEastAsia" w:hAnsiTheme="minorEastAsia" w:eastAsiaTheme="minorEastAsia"/>
          <w:color w:val="auto"/>
          <w:sz w:val="24"/>
          <w:szCs w:val="24"/>
          <w:highlight w:val="none"/>
        </w:rPr>
        <w:t>安</w:t>
      </w:r>
      <w:r>
        <w:rPr>
          <w:rFonts w:hint="eastAsia" w:ascii="宋体" w:hAnsi="宋体" w:cs="宋体"/>
          <w:color w:val="000000" w:themeColor="text1"/>
          <w:sz w:val="24"/>
          <w14:textFill>
            <w14:solidFill>
              <w14:schemeClr w14:val="tx1"/>
            </w14:solidFill>
          </w14:textFill>
        </w:rPr>
        <w:t>全目标：无安全生产责任事故。</w:t>
      </w:r>
    </w:p>
    <w:p w14:paraId="3D600CF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cs="宋体"/>
          <w:color w:val="000000" w:themeColor="text1"/>
          <w:sz w:val="24"/>
          <w14:textFill>
            <w14:solidFill>
              <w14:schemeClr w14:val="tx1"/>
            </w14:solidFill>
          </w14:textFill>
        </w:rPr>
        <w:t>、标段划分：本次招标为一个标段。</w:t>
      </w:r>
    </w:p>
    <w:p w14:paraId="25A09024">
      <w:pPr>
        <w:pageBreakBefore w:val="0"/>
        <w:kinsoku/>
        <w:wordWrap/>
        <w:overflowPunct/>
        <w:topLinePunct w:val="0"/>
        <w:autoSpaceDE/>
        <w:autoSpaceDN/>
        <w:bidi w:val="0"/>
        <w:spacing w:line="46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、采购范围：</w:t>
      </w:r>
      <w:r>
        <w:rPr>
          <w:rFonts w:hint="eastAsia" w:ascii="宋体" w:hAnsi="宋体" w:cs="宋体"/>
          <w:color w:val="000000" w:themeColor="text1"/>
          <w:sz w:val="24"/>
          <w:lang w:eastAsia="zh-CN"/>
          <w14:textFill>
            <w14:solidFill>
              <w14:schemeClr w14:val="tx1"/>
            </w14:solidFill>
          </w14:textFill>
        </w:rPr>
        <w:t>盐东镇农村公路中次差路段大中修工程，</w:t>
      </w:r>
      <w:r>
        <w:rPr>
          <w:rFonts w:hint="eastAsia" w:ascii="宋体" w:hAnsi="宋体" w:eastAsia="宋体" w:cs="宋体"/>
          <w:color w:val="000000" w:themeColor="text1"/>
          <w:kern w:val="0"/>
          <w:sz w:val="24"/>
          <w:lang w:val="en-US" w:eastAsia="zh-CN"/>
          <w14:textFill>
            <w14:solidFill>
              <w14:schemeClr w14:val="tx1"/>
            </w14:solidFill>
          </w14:textFill>
        </w:rPr>
        <w:t>盐曙线现状为水泥混凝土路面，全长约4.68km，现状道路宽5.5</w:t>
      </w:r>
      <w:r>
        <w:rPr>
          <w:rFonts w:hint="eastAsia" w:ascii="宋体" w:hAnsi="宋体" w:eastAsia="宋体" w:cs="宋体"/>
          <w:b w:val="0"/>
          <w:bCs w:val="0"/>
          <w:spacing w:val="9"/>
          <w:sz w:val="24"/>
          <w:szCs w:val="24"/>
          <w:vertAlign w:val="baseline"/>
          <w:lang w:val="en-US" w:eastAsia="zh-CN"/>
        </w:rPr>
        <w:t>m，路面维修面积约2560m²，桥梁搭板维修面积33m²；盐中线东子午路现状为水泥混凝土路面，全长约3.67km，现状道路宽5.5m，路面维修面积约7814m²，桥梁搭板维修面积约132m²；中东七组进出路现状为水泥混凝土路面，全长约1.66km，现状道路宽6.0m，路面维修面积约2058m²；坞港农庄路现状为水泥混凝土路面，全长约1.78km，现状道路宽3.5m，路面维修面积约2605m²，桥梁搭板维修面积约42m²；海棠桥北路现状为水泥混凝土路面，全长约1.32km，现状道路宽6.0m；因现状道路破损严重，采取整路维修，共五条路，全长约13.11km</w:t>
      </w:r>
      <w:r>
        <w:rPr>
          <w:rFonts w:hint="eastAsia" w:ascii="宋体" w:hAnsi="宋体" w:eastAsia="宋体" w:cs="宋体"/>
          <w:kern w:val="0"/>
          <w:sz w:val="24"/>
          <w:szCs w:val="24"/>
          <w:highlight w:val="none"/>
          <w:lang w:val="zh-CN" w:bidi="zh-CN"/>
        </w:rPr>
        <w:t>。</w:t>
      </w:r>
      <w:r>
        <w:rPr>
          <w:rFonts w:asciiTheme="minorEastAsia" w:hAnsiTheme="minorEastAsia" w:eastAsiaTheme="minorEastAsia"/>
          <w:bCs/>
          <w:color w:val="auto"/>
          <w:sz w:val="24"/>
          <w:szCs w:val="24"/>
          <w:highlight w:val="none"/>
        </w:rPr>
        <w:t>具体以采购人提供的工程量清单、施工图纸</w:t>
      </w:r>
      <w:r>
        <w:rPr>
          <w:rFonts w:hint="eastAsia" w:asciiTheme="minorEastAsia" w:hAnsiTheme="minorEastAsia" w:eastAsiaTheme="minorEastAsia"/>
          <w:bCs/>
          <w:color w:val="auto"/>
          <w:sz w:val="24"/>
          <w:szCs w:val="24"/>
          <w:highlight w:val="none"/>
        </w:rPr>
        <w:t>及采购人现场要求</w:t>
      </w:r>
      <w:r>
        <w:rPr>
          <w:rFonts w:asciiTheme="minorEastAsia" w:hAnsiTheme="minorEastAsia" w:eastAsiaTheme="minorEastAsia"/>
          <w:bCs/>
          <w:color w:val="auto"/>
          <w:sz w:val="24"/>
          <w:szCs w:val="24"/>
          <w:highlight w:val="none"/>
        </w:rPr>
        <w:t>为准，</w:t>
      </w:r>
      <w:r>
        <w:rPr>
          <w:rFonts w:hint="eastAsia" w:cs="宋体" w:asciiTheme="minorEastAsia" w:hAnsiTheme="minorEastAsia" w:eastAsiaTheme="minorEastAsia"/>
          <w:bCs/>
          <w:color w:val="auto"/>
          <w:sz w:val="24"/>
          <w:szCs w:val="24"/>
          <w:highlight w:val="none"/>
        </w:rPr>
        <w:t>服从采购人管理</w:t>
      </w:r>
      <w:r>
        <w:rPr>
          <w:rFonts w:hint="eastAsia" w:ascii="宋体" w:hAnsi="宋体" w:cs="宋体"/>
          <w:color w:val="000000" w:themeColor="text1"/>
          <w:sz w:val="24"/>
          <w14:textFill>
            <w14:solidFill>
              <w14:schemeClr w14:val="tx1"/>
            </w14:solidFill>
          </w14:textFill>
        </w:rPr>
        <w:t>，采购人保留对上述采购范围进行适当调整的权利。</w:t>
      </w:r>
    </w:p>
    <w:p w14:paraId="2221EED4">
      <w:pPr>
        <w:pStyle w:val="30"/>
        <w:spacing w:line="440" w:lineRule="exact"/>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二、踏勘现场</w:t>
      </w:r>
    </w:p>
    <w:p w14:paraId="59183434">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1.各磋商供应商应在递交磋商响应文件截止日前至工程实施现场进行现场踏勘，如因未踏勘现场造成的一切后果自负。</w:t>
      </w:r>
    </w:p>
    <w:p w14:paraId="3D1FE16C">
      <w:pPr>
        <w:spacing w:line="440" w:lineRule="exact"/>
        <w:ind w:firstLine="48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2.磋商供应商踏勘现场发生的费用自理，自行承担在踏勘现场中所发生的人员伤亡和财产损失。</w:t>
      </w:r>
    </w:p>
    <w:p w14:paraId="33B5D87F">
      <w:pPr>
        <w:spacing w:line="440" w:lineRule="exact"/>
        <w:ind w:firstLine="480"/>
        <w:rPr>
          <w:rFonts w:hint="eastAsia" w:ascii="宋体" w:hAnsi="宋体" w:cs="宋体"/>
          <w:color w:val="auto"/>
          <w:sz w:val="24"/>
        </w:rPr>
      </w:pPr>
      <w:r>
        <w:rPr>
          <w:rFonts w:hint="eastAsia" w:ascii="宋体" w:hAnsi="宋体" w:cs="宋体"/>
          <w:color w:val="auto"/>
          <w:sz w:val="24"/>
        </w:rPr>
        <w:t>3.磋商供应商到工程实施现场进行踏勘时，应当</w:t>
      </w:r>
      <w:r>
        <w:rPr>
          <w:rFonts w:hint="eastAsia" w:ascii="宋体" w:hAnsi="宋体" w:cs="宋体"/>
          <w:color w:val="auto"/>
          <w:sz w:val="24"/>
          <w:lang w:val="en-US"/>
        </w:rPr>
        <w:t>充分了解工地位置、情况、</w:t>
      </w:r>
      <w:r>
        <w:rPr>
          <w:rFonts w:hint="eastAsia" w:ascii="宋体" w:hAnsi="宋体" w:cs="宋体"/>
          <w:color w:val="auto"/>
          <w:sz w:val="24"/>
          <w:lang w:val="en-US" w:eastAsia="zh-CN"/>
        </w:rPr>
        <w:t>梁板运输</w:t>
      </w:r>
      <w:r>
        <w:rPr>
          <w:rFonts w:hint="eastAsia" w:ascii="宋体" w:hAnsi="宋体" w:cs="宋体"/>
          <w:color w:val="auto"/>
          <w:sz w:val="24"/>
          <w:lang w:val="en-US"/>
        </w:rPr>
        <w:t>道路、</w:t>
      </w:r>
      <w:r>
        <w:rPr>
          <w:rFonts w:hint="eastAsia" w:ascii="宋体" w:hAnsi="宋体" w:cs="宋体"/>
          <w:color w:val="auto"/>
          <w:sz w:val="24"/>
          <w:lang w:val="en-US" w:eastAsia="zh-CN"/>
        </w:rPr>
        <w:t>原道路的破坏后恢复的费用、临时便道（含土源的外购费用）、余土内运、余土外运、缺土外运（含外购土方费用）、周边建筑物及构造物（使用钢板桩、木桩等）加固费用、</w:t>
      </w:r>
      <w:r>
        <w:rPr>
          <w:rFonts w:hint="eastAsia" w:ascii="宋体" w:hAnsi="宋体" w:cs="宋体"/>
          <w:color w:val="auto"/>
          <w:sz w:val="24"/>
          <w:lang w:val="en-US"/>
        </w:rPr>
        <w:t>储存空间、装卸限制（第二次驳运）、质检（自检）费用、矛盾协调（地方矛盾均由中标人自行解决）、</w:t>
      </w:r>
      <w:r>
        <w:rPr>
          <w:rFonts w:hint="eastAsia" w:ascii="宋体" w:hAnsi="宋体" w:cs="宋体"/>
          <w:color w:val="auto"/>
          <w:sz w:val="24"/>
          <w:lang w:val="en-US" w:eastAsia="zh-CN"/>
        </w:rPr>
        <w:t>电</w:t>
      </w:r>
      <w:r>
        <w:rPr>
          <w:rFonts w:hint="eastAsia" w:ascii="宋体" w:hAnsi="宋体" w:cs="宋体"/>
          <w:color w:val="auto"/>
          <w:sz w:val="24"/>
          <w:lang w:val="en-US"/>
        </w:rPr>
        <w:t>杆线</w:t>
      </w:r>
      <w:r>
        <w:rPr>
          <w:rFonts w:hint="eastAsia" w:ascii="宋体" w:hAnsi="宋体" w:cs="宋体"/>
          <w:color w:val="auto"/>
          <w:sz w:val="24"/>
          <w:lang w:val="en-US" w:eastAsia="zh-CN"/>
        </w:rPr>
        <w:t>迁移及</w:t>
      </w:r>
      <w:r>
        <w:rPr>
          <w:rFonts w:hint="eastAsia" w:ascii="宋体" w:hAnsi="宋体" w:cs="宋体"/>
          <w:color w:val="auto"/>
          <w:sz w:val="24"/>
          <w:lang w:val="en-US"/>
        </w:rPr>
        <w:t>维修以及任何其他足以影响承包价的情况，并将踏勘结果综合考虑在投标报价中,</w:t>
      </w:r>
      <w:r>
        <w:rPr>
          <w:rFonts w:hint="eastAsia" w:ascii="宋体" w:hAnsi="宋体" w:cs="宋体"/>
          <w:color w:val="auto"/>
          <w:sz w:val="24"/>
          <w:lang w:val="en-US" w:eastAsia="zh-CN"/>
        </w:rPr>
        <w:t>不得另行增加该费用及签证，</w:t>
      </w:r>
      <w:r>
        <w:rPr>
          <w:rFonts w:hint="eastAsia" w:ascii="宋体" w:hAnsi="宋体" w:cs="宋体"/>
          <w:color w:val="auto"/>
          <w:sz w:val="24"/>
          <w:lang w:val="en-US"/>
        </w:rPr>
        <w:t>任何因忽视或误解工地情况而导致的索赔或工期延长申请将不被批准。招标人向投标人提供的有关现场的数据和资料，是招标人现有的能够被投标人利用的资料，招标人对投标人做出的任何推论、理解和结论均不负责任。如不到现场考察，一切责任自负，不得变更工程量。</w:t>
      </w:r>
    </w:p>
    <w:p w14:paraId="0FDA3FD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4</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14:textFill>
            <w14:solidFill>
              <w14:schemeClr w14:val="tx1"/>
            </w14:solidFill>
          </w14:textFill>
        </w:rPr>
        <w:t>由于工期紧，各投标人应充分考虑施工便道及夜间作业、施工现场材料及施工机械运输困难，工程必须确保安全，承包人自行承担工程施工过程中的工程质量、任何状况下的安全责任；并在投标报价中考虑相关费用</w:t>
      </w:r>
      <w:r>
        <w:rPr>
          <w:rFonts w:hint="eastAsia" w:ascii="宋体" w:hAnsi="宋体" w:cs="宋体"/>
          <w:color w:val="000000" w:themeColor="text1"/>
          <w:sz w:val="24"/>
          <w14:textFill>
            <w14:solidFill>
              <w14:schemeClr w14:val="tx1"/>
            </w14:solidFill>
          </w14:textFill>
        </w:rPr>
        <w:t>。</w:t>
      </w:r>
    </w:p>
    <w:p w14:paraId="5B33DAA9">
      <w:pPr>
        <w:pStyle w:val="30"/>
        <w:spacing w:line="440" w:lineRule="exact"/>
        <w:ind w:firstLine="482"/>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三、投标报价要求</w:t>
      </w:r>
    </w:p>
    <w:p w14:paraId="5DB4BFAE">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 投标人应按招标人提供的“招标工程量清单”的要求填写价格清单。</w:t>
      </w:r>
    </w:p>
    <w:p w14:paraId="7E401224">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76625910">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 投标人需自行勘察现场，结合招标人的施工工艺要求，以及现场施工难度，进行投标报价，投标报价需包含按照招标人工艺要求进行施工的所有费用。</w:t>
      </w:r>
    </w:p>
    <w:p w14:paraId="4CEB966C">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 投标人须考虑现场情况，部分材料可能须要人工二次倒运，投标人须将此费用考虑在投标综合报价中。</w:t>
      </w:r>
    </w:p>
    <w:p w14:paraId="53BCFE23">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 投标人应充分考虑验收前所有可能产生的费用，招标人向投标人提供的有关现场的数据和资料，是招标人现有的能够被投标人利用的资料，招标人对投标人做出的任何推论、理解和结论均不负责任。</w:t>
      </w:r>
    </w:p>
    <w:p w14:paraId="54B1C06D">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728D89D2">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.工程必须确保安全，投标人自行承担工程施工过程中的工程质量、任何状况下的安全责任。</w:t>
      </w:r>
    </w:p>
    <w:p w14:paraId="51160A58">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.本工程施工过程中遇到的地方矛盾、与其他施工单位的矛盾协调、环保，城管，环卫，附近居民等相关矛盾协调，均由投标人自行解决，并不支付任何额为费用。</w:t>
      </w:r>
    </w:p>
    <w:p w14:paraId="6C884E75">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.本项目施工用水、用电由投标人自行解决，投标人投标报价时应将施工用水、用电充分考虑到投标报价的综合单价中，结算时，此部分费用不再另行计取。</w:t>
      </w:r>
    </w:p>
    <w:p w14:paraId="3FB07D19">
      <w:pPr>
        <w:spacing w:line="44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0</w:t>
      </w:r>
      <w:r>
        <w:rPr>
          <w:rFonts w:hint="eastAsia" w:ascii="宋体" w:hAnsi="宋体" w:cs="宋体"/>
          <w:color w:val="000000" w:themeColor="text1"/>
          <w:sz w:val="24"/>
          <w14:textFill>
            <w14:solidFill>
              <w14:schemeClr w14:val="tx1"/>
            </w14:solidFill>
          </w14:textFill>
        </w:rPr>
        <w:t>.本项目具体开工时间以招标人通知为准，投标人不得以项目开始实施时间太迟为由要求招标人调整价格，投标人投标时应将此风险充分考虑到投标报价中。</w:t>
      </w:r>
    </w:p>
    <w:p w14:paraId="1A73096B">
      <w:pPr>
        <w:spacing w:line="440" w:lineRule="exact"/>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14:textFill>
            <w14:solidFill>
              <w14:schemeClr w14:val="tx1"/>
            </w14:solidFill>
          </w14:textFill>
        </w:rPr>
        <w:t>.工程量现场实测计量，招标人保留增加或减少工作量的权利，合同价相应调整，但投标的综合</w:t>
      </w:r>
      <w:r>
        <w:rPr>
          <w:rFonts w:hint="eastAsia" w:ascii="宋体" w:hAnsi="宋体" w:cs="宋体"/>
          <w:color w:val="000000" w:themeColor="text1"/>
          <w:sz w:val="24"/>
          <w:szCs w:val="24"/>
          <w14:textFill>
            <w14:solidFill>
              <w14:schemeClr w14:val="tx1"/>
            </w14:solidFill>
          </w14:textFill>
        </w:rPr>
        <w:t>单价不变。</w:t>
      </w:r>
    </w:p>
    <w:p w14:paraId="12E001FE">
      <w:pPr>
        <w:pStyle w:val="30"/>
        <w:spacing w:line="440" w:lineRule="exact"/>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四</w:t>
      </w:r>
      <w:r>
        <w:rPr>
          <w:rFonts w:hint="eastAsia" w:ascii="宋体" w:hAnsi="宋体" w:cs="宋体"/>
          <w:b/>
          <w:color w:val="000000" w:themeColor="text1"/>
          <w:sz w:val="24"/>
          <w:szCs w:val="24"/>
          <w14:textFill>
            <w14:solidFill>
              <w14:schemeClr w14:val="tx1"/>
            </w14:solidFill>
          </w14:textFill>
        </w:rPr>
        <w:t>、最高限价（预算）的编制</w:t>
      </w:r>
    </w:p>
    <w:p w14:paraId="3EDF97B3">
      <w:pPr>
        <w:spacing w:line="440" w:lineRule="exact"/>
        <w:ind w:firstLine="48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1.最高限价：</w:t>
      </w:r>
      <w:r>
        <w:rPr>
          <w:rFonts w:hint="eastAsia" w:ascii="宋体" w:hAnsi="宋体" w:cs="宋体"/>
          <w:color w:val="000000" w:themeColor="text1"/>
          <w:sz w:val="24"/>
          <w:lang w:val="en-US" w:eastAsia="zh-CN"/>
          <w14:textFill>
            <w14:solidFill>
              <w14:schemeClr w14:val="tx1"/>
            </w14:solidFill>
          </w14:textFill>
        </w:rPr>
        <w:t>387.36</w:t>
      </w:r>
      <w:r>
        <w:rPr>
          <w:rFonts w:hint="eastAsia" w:ascii="宋体" w:hAnsi="宋体" w:eastAsia="宋体" w:cs="宋体"/>
          <w:color w:val="000000" w:themeColor="text1"/>
          <w:kern w:val="0"/>
          <w:sz w:val="24"/>
          <w14:textFill>
            <w14:solidFill>
              <w14:schemeClr w14:val="tx1"/>
            </w14:solidFill>
          </w14:textFill>
        </w:rPr>
        <w:t>万元</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投标报价高于最高限价的作无效标处理</w:t>
      </w:r>
      <w:r>
        <w:rPr>
          <w:rFonts w:hint="eastAsia" w:ascii="宋体" w:hAnsi="宋体" w:cs="宋体"/>
          <w:color w:val="000000" w:themeColor="text1"/>
          <w:sz w:val="24"/>
          <w:szCs w:val="24"/>
          <w14:textFill>
            <w14:solidFill>
              <w14:schemeClr w14:val="tx1"/>
            </w14:solidFill>
          </w14:textFill>
        </w:rPr>
        <w:t>。</w:t>
      </w:r>
    </w:p>
    <w:p w14:paraId="45A73D54">
      <w:pPr>
        <w:spacing w:line="440" w:lineRule="exact"/>
        <w:ind w:firstLine="480"/>
        <w:rPr>
          <w:rFonts w:ascii="宋体" w:hAnsi="宋体" w:cs="宋体"/>
          <w:color w:val="auto"/>
          <w:sz w:val="24"/>
          <w:szCs w:val="24"/>
        </w:rPr>
      </w:pPr>
      <w:r>
        <w:rPr>
          <w:rFonts w:hint="eastAsia" w:ascii="宋体" w:hAnsi="宋体" w:cs="宋体"/>
          <w:color w:val="auto"/>
          <w:sz w:val="24"/>
          <w:szCs w:val="24"/>
        </w:rPr>
        <w:t>2.最高限价确定的依据：</w:t>
      </w:r>
    </w:p>
    <w:bookmarkEnd w:id="169"/>
    <w:bookmarkEnd w:id="170"/>
    <w:bookmarkEnd w:id="171"/>
    <w:bookmarkEnd w:id="172"/>
    <w:bookmarkEnd w:id="173"/>
    <w:bookmarkEnd w:id="174"/>
    <w:p w14:paraId="5EBF59CB">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bookmarkStart w:id="175" w:name="_Toc166856200"/>
      <w:r>
        <w:rPr>
          <w:rFonts w:hint="eastAsia" w:ascii="宋体" w:hAnsi="宋体"/>
          <w:color w:val="auto"/>
          <w:sz w:val="24"/>
        </w:rPr>
        <w:t>2.1 《公路工程建设项目概算预算编制办法》（JTG 3830-2018）；</w:t>
      </w:r>
    </w:p>
    <w:p w14:paraId="2E41BB14">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rPr>
        <w:t>2.2  中华人民共和国交通运输部《公路工程标准施工招标文件 (2018年版)》；</w:t>
      </w:r>
    </w:p>
    <w:p w14:paraId="6031E217">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rPr>
        <w:t>2.3  苏交建［2019］22号文；</w:t>
      </w:r>
    </w:p>
    <w:p w14:paraId="2C58E912">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rPr>
        <w:t>2.4 《江苏省公路水运工程安全生产费用使用指南》(苏交规〔2012〕9号)；</w:t>
      </w:r>
    </w:p>
    <w:p w14:paraId="3CBCE3D4">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rPr>
        <w:t>2.5  施工招标文件和施工设计图纸。</w:t>
      </w:r>
    </w:p>
    <w:p w14:paraId="739DFE48">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rPr>
        <w:t>3. 定额采用</w:t>
      </w:r>
    </w:p>
    <w:p w14:paraId="121084A1">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rPr>
        <w:t>3.1 《公路工程预算定额》（JTG/T 3832-2018）；</w:t>
      </w:r>
    </w:p>
    <w:p w14:paraId="56A42EC2">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eastAsiaTheme="minorEastAsia"/>
          <w:color w:val="auto"/>
          <w:sz w:val="24"/>
          <w:lang w:eastAsia="zh-CN"/>
        </w:rPr>
      </w:pPr>
      <w:r>
        <w:rPr>
          <w:rFonts w:hint="eastAsia" w:ascii="宋体" w:hAnsi="宋体"/>
          <w:color w:val="auto"/>
          <w:sz w:val="24"/>
        </w:rPr>
        <w:t>3.2 《公路工程机械台班费用定额》（JTG/T3833-2018）</w:t>
      </w:r>
      <w:r>
        <w:rPr>
          <w:rFonts w:hint="eastAsia" w:ascii="宋体" w:hAnsi="宋体"/>
          <w:color w:val="auto"/>
          <w:sz w:val="24"/>
          <w:lang w:eastAsia="zh-CN"/>
        </w:rPr>
        <w:t>；</w:t>
      </w:r>
    </w:p>
    <w:p w14:paraId="60A067E3">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lang w:val="en-US" w:eastAsia="zh-CN"/>
        </w:rPr>
        <w:t>3.3</w:t>
      </w:r>
      <w:r>
        <w:rPr>
          <w:rFonts w:hint="eastAsia" w:ascii="宋体" w:hAnsi="宋体"/>
          <w:color w:val="auto"/>
          <w:sz w:val="24"/>
        </w:rPr>
        <w:t>人工费单价为128.17元/工日，机械人工费单价为128.17元/工日；</w:t>
      </w:r>
    </w:p>
    <w:p w14:paraId="47871651">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rPr>
      </w:pPr>
      <w:r>
        <w:rPr>
          <w:rFonts w:hint="eastAsia" w:ascii="宋体" w:hAnsi="宋体"/>
          <w:color w:val="auto"/>
          <w:sz w:val="24"/>
          <w:lang w:val="en-US" w:eastAsia="zh-CN"/>
        </w:rPr>
        <w:t>3.4</w:t>
      </w:r>
      <w:r>
        <w:rPr>
          <w:rFonts w:hint="eastAsia" w:ascii="宋体" w:hAnsi="宋体"/>
          <w:color w:val="auto"/>
          <w:sz w:val="24"/>
        </w:rPr>
        <w:t xml:space="preserve"> 材料费：材料预算价格按2026年第02期（2-3月份）《盐城工程造价》的建筑材料市场指导价和市场行情价考虑；</w:t>
      </w:r>
    </w:p>
    <w:p w14:paraId="50062113">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3.5</w:t>
      </w:r>
      <w:r>
        <w:rPr>
          <w:rFonts w:hint="eastAsia" w:ascii="宋体" w:hAnsi="宋体"/>
          <w:color w:val="auto"/>
          <w:sz w:val="24"/>
        </w:rPr>
        <w:t xml:space="preserve"> 施工机械使用费：施工机械台班预算价格按《公路工程机械台班定额》（JTG/T3833-2018）文公布的定额标准</w:t>
      </w:r>
      <w:r>
        <w:rPr>
          <w:rFonts w:hint="eastAsia" w:ascii="宋体" w:hAnsi="宋体"/>
          <w:color w:val="auto"/>
          <w:sz w:val="24"/>
          <w:lang w:val="en-US" w:eastAsia="zh-CN"/>
        </w:rPr>
        <w:t>计算，燃料费按2026年第02期（2-3月份）《盐城工程造价》指导价计算。</w:t>
      </w:r>
    </w:p>
    <w:p w14:paraId="0A85FA53">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3.6 雨季施工增加费费率按Ⅱ类雨量区、雨季期3个月计列；</w:t>
      </w:r>
    </w:p>
    <w:p w14:paraId="690DD17B">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3.7特殊地区施工增加费未计；</w:t>
      </w:r>
    </w:p>
    <w:p w14:paraId="70CF6DB6">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3.8 行车干扰工程施工增加费未计；</w:t>
      </w:r>
    </w:p>
    <w:p w14:paraId="14CE772A">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3.9施工辅助费费率按“编制办法”规定费率计列；</w:t>
      </w:r>
    </w:p>
    <w:p w14:paraId="0850488D">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3.10 工地转移费未计。</w:t>
      </w:r>
    </w:p>
    <w:p w14:paraId="6FDDAC95">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3.11 规费按苏交建［2019］22号计列；</w:t>
      </w:r>
    </w:p>
    <w:p w14:paraId="60757B64">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3.12 企业管理费计“编制办法”计取基本费和财务费；</w:t>
      </w:r>
    </w:p>
    <w:p w14:paraId="5D072701">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3.13计划利润按定额直接工程费与间接费之和的7.42%计算。</w:t>
      </w:r>
    </w:p>
    <w:p w14:paraId="1B4EC670">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3.14 预算综合税率为9%。</w:t>
      </w:r>
    </w:p>
    <w:p w14:paraId="12BA600D">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3.15本预算未考虑暂列金额。</w:t>
      </w:r>
    </w:p>
    <w:p w14:paraId="375E188D">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3.16本工程砼使用商品砼；</w:t>
      </w:r>
    </w:p>
    <w:p w14:paraId="7630A169">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3.17第100章未列出的清单项由投标人在报价中考虑，结算时不再增加；</w:t>
      </w:r>
    </w:p>
    <w:p w14:paraId="5AA74E35">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auto"/>
          <w:sz w:val="24"/>
          <w:lang w:val="en-US" w:eastAsia="zh-CN"/>
        </w:rPr>
      </w:pPr>
      <w:r>
        <w:rPr>
          <w:rFonts w:hint="eastAsia" w:ascii="宋体" w:hAnsi="宋体"/>
          <w:color w:val="auto"/>
          <w:sz w:val="24"/>
          <w:lang w:val="en-US" w:eastAsia="zh-CN"/>
        </w:rPr>
        <w:t>3.18 施工用水电由投标人自行负责，费用在投标报价中考虑；</w:t>
      </w:r>
    </w:p>
    <w:p w14:paraId="7F50011D">
      <w:pPr>
        <w:spacing w:line="440" w:lineRule="exact"/>
        <w:ind w:firstLine="482"/>
        <w:rPr>
          <w:rFonts w:ascii="宋体" w:hAnsi="宋体"/>
          <w:b/>
          <w:color w:val="0000FF"/>
          <w:sz w:val="24"/>
          <w:highlight w:val="none"/>
        </w:rPr>
      </w:pPr>
      <w:r>
        <w:rPr>
          <w:rFonts w:hint="eastAsia" w:ascii="宋体" w:hAnsi="宋体"/>
          <w:b/>
          <w:color w:val="0000FF"/>
          <w:sz w:val="24"/>
          <w:highlight w:val="none"/>
        </w:rPr>
        <w:t>五、磋商文件中“磋商响应报价表”均指已标价工程量清单。</w:t>
      </w:r>
    </w:p>
    <w:p w14:paraId="0E5DA3F9">
      <w:pPr>
        <w:spacing w:line="440" w:lineRule="exact"/>
        <w:ind w:firstLine="480"/>
        <w:rPr>
          <w:rFonts w:hint="eastAsia" w:ascii="宋体" w:hAnsi="宋体"/>
          <w:b/>
          <w:color w:val="0000FF"/>
          <w:sz w:val="24"/>
          <w:highlight w:val="none"/>
        </w:rPr>
      </w:pPr>
      <w:r>
        <w:rPr>
          <w:rFonts w:hint="eastAsia" w:ascii="宋体" w:hAnsi="宋体"/>
          <w:b/>
          <w:color w:val="0000FF"/>
          <w:sz w:val="24"/>
          <w:highlight w:val="none"/>
        </w:rPr>
        <w:t>招标清单及图纸下载链接：</w:t>
      </w:r>
      <w:r>
        <w:rPr>
          <w:rFonts w:hint="eastAsia" w:ascii="宋体" w:hAnsi="宋体"/>
          <w:b/>
          <w:color w:val="0000FF"/>
          <w:sz w:val="24"/>
          <w:highlight w:val="none"/>
          <w:lang w:val="en-US" w:eastAsia="zh-CN"/>
        </w:rPr>
        <w:t xml:space="preserve">https://pan.baidu.com/s/1HU1dbVtgFwyj3S0rZ48row </w:t>
      </w:r>
    </w:p>
    <w:p w14:paraId="1C8385BE">
      <w:pPr>
        <w:spacing w:line="440" w:lineRule="exact"/>
        <w:ind w:firstLine="480"/>
        <w:rPr>
          <w:rFonts w:hint="default" w:ascii="宋体" w:hAnsi="宋体"/>
          <w:b/>
          <w:color w:val="0000FF"/>
          <w:sz w:val="24"/>
          <w:highlight w:val="none"/>
          <w:lang w:val="en-US"/>
        </w:rPr>
      </w:pPr>
      <w:r>
        <w:rPr>
          <w:rFonts w:hint="eastAsia" w:ascii="宋体" w:hAnsi="宋体"/>
          <w:b/>
          <w:color w:val="0000FF"/>
          <w:sz w:val="24"/>
          <w:highlight w:val="none"/>
        </w:rPr>
        <w:t>提取码:</w:t>
      </w:r>
      <w:r>
        <w:rPr>
          <w:rFonts w:hint="eastAsia" w:ascii="宋体" w:hAnsi="宋体"/>
          <w:b/>
          <w:color w:val="0000FF"/>
          <w:sz w:val="24"/>
          <w:highlight w:val="none"/>
          <w:lang w:val="en-US" w:eastAsia="zh-CN"/>
        </w:rPr>
        <w:t>8888</w:t>
      </w:r>
    </w:p>
    <w:p w14:paraId="3FB5A47D">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000000" w:themeColor="text1"/>
          <w:sz w:val="24"/>
          <w:lang w:val="en-US" w:eastAsia="zh-CN"/>
          <w14:textFill>
            <w14:solidFill>
              <w14:schemeClr w14:val="tx1"/>
            </w14:solidFill>
          </w14:textFill>
        </w:rPr>
      </w:pPr>
    </w:p>
    <w:p w14:paraId="0DB8BBA1">
      <w:pPr>
        <w:pBdr>
          <w:top w:val="none" w:color="000000" w:sz="0" w:space="0"/>
          <w:left w:val="none" w:color="000000" w:sz="0" w:space="0"/>
          <w:bottom w:val="none" w:color="000000" w:sz="0" w:space="0"/>
          <w:right w:val="none" w:color="000000" w:sz="0" w:space="0"/>
        </w:pBdr>
        <w:spacing w:line="460" w:lineRule="atLeast"/>
        <w:ind w:firstLine="422"/>
        <w:rPr>
          <w:rFonts w:hint="eastAsia" w:ascii="宋体" w:hAnsi="宋体"/>
          <w:color w:val="000000" w:themeColor="text1"/>
          <w:sz w:val="24"/>
          <w:lang w:val="en-US" w:eastAsia="zh-CN"/>
          <w14:textFill>
            <w14:solidFill>
              <w14:schemeClr w14:val="tx1"/>
            </w14:solidFill>
          </w14:textFill>
        </w:rPr>
      </w:pPr>
    </w:p>
    <w:bookmarkEnd w:id="175"/>
    <w:p w14:paraId="2B3D57C3">
      <w:pPr>
        <w:jc w:val="center"/>
        <w:rPr>
          <w:color w:val="auto"/>
          <w:highlight w:val="none"/>
        </w:rPr>
      </w:pPr>
      <w:bookmarkStart w:id="176"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176"/>
    </w:p>
    <w:p w14:paraId="11AEE45A">
      <w:pPr>
        <w:pStyle w:val="15"/>
        <w:spacing w:beforeAutospacing="0" w:afterAutospacing="0"/>
        <w:jc w:val="both"/>
        <w:rPr>
          <w:color w:val="auto"/>
          <w:highlight w:val="none"/>
        </w:rPr>
      </w:pPr>
      <w:r>
        <w:rPr>
          <w:color w:val="auto"/>
          <w:highlight w:val="none"/>
        </w:rPr>
        <w:t> </w:t>
      </w:r>
    </w:p>
    <w:p w14:paraId="668FEA9F">
      <w:pPr>
        <w:keepNext w:val="0"/>
        <w:keepLines w:val="0"/>
        <w:pageBreakBefore w:val="0"/>
        <w:widowControl w:val="0"/>
        <w:kinsoku/>
        <w:wordWrap/>
        <w:overflowPunct/>
        <w:topLinePunct w:val="0"/>
        <w:autoSpaceDE/>
        <w:autoSpaceDN/>
        <w:bidi w:val="0"/>
        <w:adjustRightInd/>
        <w:snapToGrid w:val="0"/>
        <w:spacing w:beforeAutospacing="0" w:afterAutospacing="0"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38812811">
      <w:pPr>
        <w:pStyle w:val="3"/>
        <w:keepNext w:val="0"/>
        <w:keepLines w:val="0"/>
        <w:pageBreakBefore w:val="0"/>
        <w:widowControl w:val="0"/>
        <w:kinsoku/>
        <w:wordWrap/>
        <w:overflowPunct/>
        <w:topLinePunct w:val="0"/>
        <w:autoSpaceDE/>
        <w:autoSpaceDN/>
        <w:bidi w:val="0"/>
        <w:adjustRightInd/>
        <w:spacing w:before="0" w:beforeAutospacing="0" w:after="0" w:afterAutospacing="0" w:line="440" w:lineRule="exact"/>
        <w:ind w:firstLine="482"/>
        <w:jc w:val="left"/>
        <w:textAlignment w:val="auto"/>
        <w:rPr>
          <w:rFonts w:hint="eastAsia" w:ascii="宋体" w:hAnsi="宋体" w:eastAsia="宋体" w:cs="宋体"/>
          <w:b/>
          <w:color w:val="auto"/>
          <w:sz w:val="24"/>
          <w:szCs w:val="24"/>
          <w:highlight w:val="none"/>
          <w:lang w:val="en-US" w:eastAsia="zh-CN"/>
        </w:rPr>
      </w:pPr>
      <w:bookmarkStart w:id="177" w:name="_Toc166856205"/>
      <w:bookmarkStart w:id="178" w:name="_Toc203032707"/>
      <w:r>
        <w:rPr>
          <w:rFonts w:hint="eastAsia" w:ascii="宋体" w:hAnsi="宋体" w:cs="宋体"/>
          <w:b w:val="0"/>
          <w:bCs w:val="0"/>
          <w:color w:val="000000" w:themeColor="text1"/>
          <w:sz w:val="24"/>
          <w:lang w:val="en-US" w:eastAsia="zh-CN"/>
          <w14:textFill>
            <w14:solidFill>
              <w14:schemeClr w14:val="tx1"/>
            </w14:solidFill>
          </w14:textFill>
        </w:rPr>
        <w:t>本项目采用</w:t>
      </w:r>
      <w:r>
        <w:rPr>
          <w:rFonts w:hint="eastAsia" w:ascii="宋体" w:hAnsi="宋体" w:cs="宋体"/>
          <w:b w:val="0"/>
          <w:bCs w:val="0"/>
          <w:color w:val="000000" w:themeColor="text1"/>
          <w:sz w:val="24"/>
          <w:u w:val="single"/>
          <w:lang w:val="en-US" w:eastAsia="zh-CN"/>
          <w14:textFill>
            <w14:solidFill>
              <w14:schemeClr w14:val="tx1"/>
            </w14:solidFill>
          </w14:textFill>
        </w:rPr>
        <w:t xml:space="preserve"> 综合评分法</w:t>
      </w:r>
      <w:r>
        <w:rPr>
          <w:rFonts w:hint="eastAsia" w:ascii="宋体" w:hAnsi="宋体" w:cs="宋体"/>
          <w:b w:val="0"/>
          <w:bCs w:val="0"/>
          <w:color w:val="000000" w:themeColor="text1"/>
          <w:sz w:val="24"/>
          <w:lang w:val="en-US" w:eastAsia="zh-CN"/>
          <w14:textFill>
            <w14:solidFill>
              <w14:schemeClr w14:val="tx1"/>
            </w14:solidFill>
          </w14:textFill>
        </w:rPr>
        <w:t>。评标结果按评审后得分由高到低顺序排列。得分相同的，按投标报价由低到高顺序排列。得分且投标报价相同的，由评标委员会组织通过抽签的方式确定中标候选供应商的排序。响应文件满足磋商文件全部实质性要求，且按照评审因素的量化指标评审得分最高的磋商供应商为排名第一的中标候选供应商，本项目选取1名中标候选供应商。</w:t>
      </w:r>
      <w:bookmarkEnd w:id="177"/>
      <w:bookmarkEnd w:id="178"/>
    </w:p>
    <w:p w14:paraId="2A960480">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41"/>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5B335CAE">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7F716CE7">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（1）本项目专门面向中小企业采购，不再执行价格评审优惠的扶持政策。</w:t>
      </w:r>
    </w:p>
    <w:p w14:paraId="11484D88">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（2）供应商需按照采购文件的要求提供相应的《中小企业声明函》。</w:t>
      </w:r>
    </w:p>
    <w:p w14:paraId="2C78FBA9">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360"/>
        <w:textAlignment w:val="auto"/>
        <w:rPr>
          <w:rFonts w:hint="eastAsia" w:ascii="宋体" w:hAnsi="宋体" w:eastAsia="宋体" w:cs="宋体"/>
          <w:color w:val="auto"/>
          <w:sz w:val="24"/>
          <w:szCs w:val="24"/>
          <w:highlight w:val="none"/>
        </w:rPr>
      </w:pPr>
      <w:r>
        <w:rPr>
          <w:rFonts w:hint="eastAsia" w:ascii="宋体" w:hAnsi="宋体" w:cs="宋体"/>
          <w:color w:val="000000" w:themeColor="text1"/>
          <w:sz w:val="24"/>
          <w14:textFill>
            <w14:solidFill>
              <w14:schemeClr w14:val="tx1"/>
            </w14:solidFill>
          </w14:textFill>
        </w:rPr>
        <w:t>（3）企业标准请参照《关于印发中小企业划型标准规定的通知》（工信部联企业[2011]300号）文件规定自行填写。</w:t>
      </w:r>
    </w:p>
    <w:p w14:paraId="064503E0">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1C8482E0">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（1）本项目专门面向中小企业采购，不再执行价格评审优惠的扶持政策。</w:t>
      </w:r>
    </w:p>
    <w:p w14:paraId="4609D88F">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（2）残疾人福利单位需按照采购文件的要求提供《残疾人福利性单位声明函》。</w:t>
      </w:r>
    </w:p>
    <w:p w14:paraId="63789C2F">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（3）残疾人福利单位标准请参照《关于促进残疾人就业政府采购政策的通知》（财库〔2017〕141号）。</w:t>
      </w:r>
    </w:p>
    <w:p w14:paraId="3F62933B">
      <w:pPr>
        <w:pStyle w:val="15"/>
        <w:keepNext w:val="0"/>
        <w:keepLines w:val="0"/>
        <w:pageBreakBefore w:val="0"/>
        <w:widowControl w:val="0"/>
        <w:kinsoku/>
        <w:wordWrap/>
        <w:overflowPunct/>
        <w:topLinePunct w:val="0"/>
        <w:autoSpaceDE/>
        <w:autoSpaceDN/>
        <w:bidi w:val="0"/>
        <w:adjustRightInd/>
        <w:snapToGrid/>
        <w:spacing w:before="120" w:beforeAutospacing="0" w:after="120" w:afterAutospacing="0" w:line="44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664EA36A">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（1）本项目专门面向中小企业采购，不再执行价格评审优惠的扶持政策。</w:t>
      </w:r>
    </w:p>
    <w:p w14:paraId="3755B86A">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5E2AE2C9">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（3）监狱企业标准请参照《关于政府采购支持监狱企业发展有关问题的通知》（财库[2014]68号）。</w:t>
      </w:r>
    </w:p>
    <w:p w14:paraId="75CE634A">
      <w:pPr>
        <w:spacing w:line="480" w:lineRule="exact"/>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4、残疾人福利单位、监狱企业属于小型、微型企业的，不重复享受政策。</w:t>
      </w:r>
    </w:p>
    <w:p w14:paraId="6E49F9ED">
      <w:pPr>
        <w:spacing w:line="480" w:lineRule="exact"/>
        <w:ind w:firstLine="480"/>
        <w:rPr>
          <w:rFonts w:ascii="宋体" w:hAnsi="宋体" w:cs="宋体"/>
          <w:color w:val="auto"/>
          <w:sz w:val="24"/>
        </w:rPr>
      </w:pPr>
      <w:r>
        <w:rPr>
          <w:rFonts w:hint="eastAsia" w:ascii="宋体" w:hAnsi="宋体" w:cs="宋体"/>
          <w:color w:val="auto"/>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CDB591A">
      <w:pPr>
        <w:spacing w:line="480" w:lineRule="exact"/>
        <w:ind w:firstLine="480"/>
        <w:rPr>
          <w:rFonts w:ascii="宋体" w:hAnsi="宋体" w:cs="宋体"/>
          <w:color w:val="auto"/>
          <w:sz w:val="24"/>
        </w:rPr>
      </w:pPr>
      <w:r>
        <w:rPr>
          <w:rFonts w:hint="eastAsia" w:ascii="宋体" w:hAnsi="宋体" w:cs="宋体"/>
          <w:color w:val="auto"/>
          <w:sz w:val="24"/>
        </w:rPr>
        <w:t>6、供应商对于投标产品的商品包装、快递包装应按照“财办库〔2020〕123号《关于印发《商品包装政府采购需求标准（试行）》、《快递包装政府采购需求标准（试行）》的通知》”执行。</w:t>
      </w:r>
    </w:p>
    <w:p w14:paraId="48B14CA2">
      <w:pPr>
        <w:spacing w:line="480" w:lineRule="exact"/>
        <w:ind w:firstLine="480"/>
        <w:rPr>
          <w:rFonts w:hint="eastAsia" w:ascii="宋体" w:hAnsi="宋体" w:eastAsia="宋体" w:cs="宋体"/>
          <w:color w:val="auto"/>
          <w:sz w:val="24"/>
          <w:szCs w:val="24"/>
          <w:highlight w:val="none"/>
        </w:rPr>
      </w:pPr>
      <w:r>
        <w:rPr>
          <w:rFonts w:hint="eastAsia" w:ascii="宋体" w:hAnsi="宋体" w:cs="宋体"/>
          <w:color w:val="auto"/>
          <w:sz w:val="24"/>
        </w:rPr>
        <w:t>7、本文件中若涉及到数据中心采购，应按照《&lt;绿色数据中心政府采购需求标准（试行）&gt;的通知》（财库〔2023〕7号）执行</w:t>
      </w:r>
      <w:r>
        <w:rPr>
          <w:rFonts w:hint="eastAsia" w:ascii="宋体" w:hAnsi="宋体" w:eastAsia="宋体" w:cs="宋体"/>
          <w:color w:val="auto"/>
          <w:sz w:val="24"/>
          <w:szCs w:val="24"/>
          <w:highlight w:val="none"/>
        </w:rPr>
        <w:t>。</w:t>
      </w:r>
    </w:p>
    <w:p w14:paraId="162C5AE1">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500" w:lineRule="exact"/>
        <w:ind w:firstLine="482"/>
        <w:jc w:val="left"/>
        <w:textAlignment w:val="auto"/>
        <w:rPr>
          <w:rFonts w:ascii="宋体" w:hAnsi="宋体" w:eastAsia="宋体" w:cs="Courier New"/>
          <w:color w:val="auto"/>
          <w:sz w:val="24"/>
          <w:szCs w:val="24"/>
        </w:rPr>
      </w:pPr>
      <w:bookmarkStart w:id="179" w:name="_Toc203032711"/>
      <w:bookmarkStart w:id="180" w:name="_Toc166856210"/>
      <w:r>
        <w:rPr>
          <w:rFonts w:hint="eastAsia" w:cs="Courier New"/>
          <w:color w:val="auto"/>
          <w:sz w:val="24"/>
          <w:szCs w:val="24"/>
          <w:lang w:val="en-US" w:eastAsia="zh-CN"/>
        </w:rPr>
        <w:t>二</w:t>
      </w:r>
      <w:r>
        <w:rPr>
          <w:rFonts w:hint="eastAsia" w:ascii="宋体" w:hAnsi="宋体" w:eastAsia="宋体" w:cs="Courier New"/>
          <w:color w:val="auto"/>
          <w:sz w:val="24"/>
          <w:szCs w:val="24"/>
        </w:rPr>
        <w:t>、评分细则</w:t>
      </w:r>
      <w:bookmarkEnd w:id="179"/>
      <w:bookmarkEnd w:id="180"/>
    </w:p>
    <w:p w14:paraId="3A3AB062">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评标委员会仅对通过以上评审、确定为实质性响应招标文件要求的投标文件进行评价和比较。本次招标的评审方法采用综合评分法，评标委员会将按以下评审方法和标准进行评分，总分值为100分。</w:t>
      </w:r>
    </w:p>
    <w:tbl>
      <w:tblPr>
        <w:tblStyle w:val="19"/>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414"/>
        <w:gridCol w:w="7668"/>
      </w:tblGrid>
      <w:tr w14:paraId="0BD26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tblHeader/>
          <w:jc w:val="center"/>
        </w:trPr>
        <w:tc>
          <w:tcPr>
            <w:tcW w:w="568" w:type="dxa"/>
            <w:noWrap w:val="0"/>
            <w:vAlign w:val="center"/>
          </w:tcPr>
          <w:p w14:paraId="257673C1">
            <w:pPr>
              <w:widowControl/>
              <w:spacing w:line="400" w:lineRule="exact"/>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序号</w:t>
            </w:r>
          </w:p>
        </w:tc>
        <w:tc>
          <w:tcPr>
            <w:tcW w:w="1414" w:type="dxa"/>
            <w:noWrap w:val="0"/>
            <w:vAlign w:val="center"/>
          </w:tcPr>
          <w:p w14:paraId="195B5256">
            <w:pPr>
              <w:widowControl/>
              <w:spacing w:line="400" w:lineRule="exact"/>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评分因素及满分分值</w:t>
            </w:r>
          </w:p>
        </w:tc>
        <w:tc>
          <w:tcPr>
            <w:tcW w:w="7668" w:type="dxa"/>
            <w:noWrap w:val="0"/>
            <w:vAlign w:val="center"/>
          </w:tcPr>
          <w:p w14:paraId="140BE944">
            <w:pPr>
              <w:widowControl/>
              <w:spacing w:line="400" w:lineRule="exact"/>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评分标准</w:t>
            </w:r>
          </w:p>
        </w:tc>
      </w:tr>
      <w:tr w14:paraId="74791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5" w:hRule="atLeast"/>
          <w:jc w:val="center"/>
        </w:trPr>
        <w:tc>
          <w:tcPr>
            <w:tcW w:w="568" w:type="dxa"/>
            <w:noWrap w:val="0"/>
            <w:vAlign w:val="center"/>
          </w:tcPr>
          <w:p w14:paraId="3E4DD291">
            <w:pPr>
              <w:widowControl/>
              <w:spacing w:line="400" w:lineRule="exact"/>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w:t>
            </w:r>
          </w:p>
        </w:tc>
        <w:tc>
          <w:tcPr>
            <w:tcW w:w="1414" w:type="dxa"/>
            <w:noWrap w:val="0"/>
            <w:vAlign w:val="center"/>
          </w:tcPr>
          <w:p w14:paraId="2B3CBFC5">
            <w:pPr>
              <w:widowControl/>
              <w:spacing w:line="400" w:lineRule="exact"/>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投标报价</w:t>
            </w:r>
          </w:p>
          <w:p w14:paraId="03335A56">
            <w:pPr>
              <w:widowControl/>
              <w:spacing w:line="400" w:lineRule="exact"/>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w:t>
            </w:r>
            <w:r>
              <w:rPr>
                <w:rFonts w:hint="eastAsia" w:ascii="宋体" w:hAnsi="宋体" w:cs="宋体"/>
                <w:b/>
                <w:bCs/>
                <w:color w:val="000000" w:themeColor="text1"/>
                <w:lang w:val="en-US" w:eastAsia="zh-CN"/>
                <w14:textFill>
                  <w14:solidFill>
                    <w14:schemeClr w14:val="tx1"/>
                  </w14:solidFill>
                </w14:textFill>
              </w:rPr>
              <w:t>30</w:t>
            </w:r>
            <w:r>
              <w:rPr>
                <w:rFonts w:hint="eastAsia" w:ascii="宋体" w:hAnsi="宋体" w:cs="宋体"/>
                <w:b/>
                <w:bCs/>
                <w:color w:val="000000" w:themeColor="text1"/>
                <w14:textFill>
                  <w14:solidFill>
                    <w14:schemeClr w14:val="tx1"/>
                  </w14:solidFill>
                </w14:textFill>
              </w:rPr>
              <w:t>分）</w:t>
            </w:r>
          </w:p>
        </w:tc>
        <w:tc>
          <w:tcPr>
            <w:tcW w:w="7668" w:type="dxa"/>
            <w:noWrap w:val="0"/>
            <w:vAlign w:val="center"/>
          </w:tcPr>
          <w:p w14:paraId="0888198A">
            <w:pPr>
              <w:widowControl/>
              <w:spacing w:line="360" w:lineRule="exact"/>
              <w:ind w:firstLine="420" w:firstLineChars="0"/>
              <w:jc w:val="left"/>
              <w:rPr>
                <w:rFonts w:ascii="宋体" w:hAnsi="宋体" w:cs="宋体"/>
                <w:color w:val="000000" w:themeColor="text1"/>
                <w:shd w:val="clear" w:color="auto" w:fill="FFFFFF"/>
                <w14:textFill>
                  <w14:solidFill>
                    <w14:schemeClr w14:val="tx1"/>
                  </w14:solidFill>
                </w14:textFill>
              </w:rPr>
            </w:pPr>
            <w:r>
              <w:rPr>
                <w:rFonts w:hint="eastAsia" w:ascii="宋体" w:hAnsi="宋体" w:eastAsia="宋体" w:cs="宋体"/>
                <w:color w:val="auto"/>
                <w:sz w:val="24"/>
                <w:highlight w:val="none"/>
              </w:rPr>
              <w:t>价格分采用低价优先法计算，即满足磋商文件要求且最后报价最低的投标报价为评标基准价，其价格分为满分。其他供应商的价格分统一按照下列公式计算: 磋商报价得分=（磋商基准价</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最后磋商报价）×</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(得分保留两位小数)。</w:t>
            </w:r>
          </w:p>
        </w:tc>
      </w:tr>
      <w:tr w14:paraId="555E7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5" w:hRule="atLeast"/>
          <w:jc w:val="center"/>
        </w:trPr>
        <w:tc>
          <w:tcPr>
            <w:tcW w:w="568" w:type="dxa"/>
            <w:noWrap w:val="0"/>
            <w:vAlign w:val="center"/>
          </w:tcPr>
          <w:p w14:paraId="1726B226">
            <w:pPr>
              <w:widowControl/>
              <w:spacing w:line="400" w:lineRule="exact"/>
              <w:jc w:val="center"/>
              <w:rPr>
                <w:rFonts w:hint="eastAsia" w:ascii="宋体" w:hAnsi="宋体" w:cs="宋体" w:eastAsiaTheme="minorEastAsia"/>
                <w:b/>
                <w:bCs/>
                <w:color w:val="000000" w:themeColor="text1"/>
                <w:lang w:val="en-US" w:eastAsia="zh-CN"/>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2</w:t>
            </w:r>
          </w:p>
        </w:tc>
        <w:tc>
          <w:tcPr>
            <w:tcW w:w="1414" w:type="dxa"/>
            <w:noWrap w:val="0"/>
            <w:vAlign w:val="center"/>
          </w:tcPr>
          <w:p w14:paraId="6078214E">
            <w:pPr>
              <w:widowControl/>
              <w:spacing w:line="400" w:lineRule="exact"/>
              <w:jc w:val="center"/>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实施方案</w:t>
            </w:r>
          </w:p>
          <w:p w14:paraId="04FDAC63">
            <w:pPr>
              <w:widowControl/>
              <w:spacing w:line="400" w:lineRule="exact"/>
              <w:jc w:val="center"/>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w:t>
            </w:r>
            <w:r>
              <w:rPr>
                <w:rFonts w:hint="eastAsia" w:ascii="宋体" w:hAnsi="宋体" w:cs="宋体"/>
                <w:b/>
                <w:color w:val="000000" w:themeColor="text1"/>
                <w:lang w:val="en-US" w:eastAsia="zh-CN"/>
                <w14:textFill>
                  <w14:solidFill>
                    <w14:schemeClr w14:val="tx1"/>
                  </w14:solidFill>
                </w14:textFill>
              </w:rPr>
              <w:t>70</w:t>
            </w:r>
            <w:r>
              <w:rPr>
                <w:rFonts w:hint="eastAsia" w:ascii="宋体" w:hAnsi="宋体" w:cs="宋体"/>
                <w:b/>
                <w:color w:val="000000" w:themeColor="text1"/>
                <w14:textFill>
                  <w14:solidFill>
                    <w14:schemeClr w14:val="tx1"/>
                  </w14:solidFill>
                </w14:textFill>
              </w:rPr>
              <w:t>分）</w:t>
            </w:r>
          </w:p>
        </w:tc>
        <w:tc>
          <w:tcPr>
            <w:tcW w:w="7668" w:type="dxa"/>
            <w:noWrap w:val="0"/>
            <w:vAlign w:val="center"/>
          </w:tcPr>
          <w:p w14:paraId="3DD70BB3">
            <w:pPr>
              <w:widowControl/>
              <w:spacing w:line="360" w:lineRule="exact"/>
              <w:ind w:firstLine="42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磋商小组根据以下评审要点，对实施方案进行评审计分，本项满分</w:t>
            </w:r>
            <w:r>
              <w:rPr>
                <w:rFonts w:hint="eastAsia" w:ascii="宋体" w:hAnsi="宋体" w:eastAsia="宋体" w:cs="宋体"/>
                <w:color w:val="auto"/>
                <w:sz w:val="24"/>
                <w:highlight w:val="none"/>
                <w:lang w:val="en-US" w:eastAsia="zh-CN"/>
              </w:rPr>
              <w:t>70</w:t>
            </w:r>
            <w:r>
              <w:rPr>
                <w:rFonts w:hint="eastAsia" w:ascii="宋体" w:hAnsi="宋体" w:eastAsia="宋体" w:cs="宋体"/>
                <w:color w:val="auto"/>
                <w:sz w:val="24"/>
                <w:highlight w:val="none"/>
              </w:rPr>
              <w:t>分。</w:t>
            </w:r>
          </w:p>
          <w:p w14:paraId="7EC22BC2">
            <w:pPr>
              <w:widowControl/>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1.施工方案、技术措施及后期服务方案（</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36BC35B5">
            <w:pPr>
              <w:widowControl/>
              <w:spacing w:line="360" w:lineRule="exact"/>
              <w:ind w:firstLine="42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根据投标供应商提供</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施工方案、技术措施及后期服务方案</w:t>
            </w:r>
            <w:r>
              <w:rPr>
                <w:rFonts w:hint="eastAsia" w:ascii="宋体" w:hAnsi="宋体" w:eastAsia="宋体" w:cs="宋体"/>
                <w:color w:val="auto"/>
                <w:sz w:val="24"/>
                <w:highlight w:val="none"/>
                <w:lang w:val="en-US" w:eastAsia="zh-CN"/>
              </w:rPr>
              <w:t>进行评审，</w:t>
            </w:r>
            <w:r>
              <w:rPr>
                <w:rFonts w:hint="eastAsia" w:ascii="宋体" w:hAnsi="宋体" w:eastAsia="宋体" w:cs="宋体"/>
                <w:color w:val="auto"/>
                <w:sz w:val="24"/>
                <w:highlight w:val="none"/>
              </w:rPr>
              <w:t>要求提供至少包含：①施工准备方案；②施工项目目标控制；③技术措施</w:t>
            </w:r>
            <w:r>
              <w:rPr>
                <w:rFonts w:hint="eastAsia" w:ascii="宋体" w:hAnsi="宋体" w:eastAsia="宋体" w:cs="宋体"/>
                <w:color w:val="auto"/>
                <w:sz w:val="24"/>
                <w:highlight w:val="none"/>
                <w:lang w:val="en-US" w:eastAsia="zh-CN"/>
              </w:rPr>
              <w:t>方案；</w:t>
            </w:r>
            <w:r>
              <w:rPr>
                <w:rFonts w:hint="eastAsia" w:ascii="宋体" w:hAnsi="宋体" w:eastAsia="宋体" w:cs="宋体"/>
                <w:color w:val="auto"/>
                <w:sz w:val="24"/>
                <w:highlight w:val="none"/>
              </w:rPr>
              <w:t>优于项目需求的得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分；满足项目需求的得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分；不满足或无此项内容的本项不得分。</w:t>
            </w:r>
          </w:p>
          <w:p w14:paraId="59C13EB8">
            <w:pPr>
              <w:widowControl/>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2.工程进度计划与保证措施（</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1C392CB1">
            <w:pPr>
              <w:widowControl/>
              <w:spacing w:line="360" w:lineRule="exact"/>
              <w:ind w:firstLine="420"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根据投标供应商提供</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工程进度计划与保证措施</w:t>
            </w:r>
            <w:r>
              <w:rPr>
                <w:rFonts w:hint="eastAsia" w:ascii="宋体" w:hAnsi="宋体" w:eastAsia="宋体" w:cs="宋体"/>
                <w:color w:val="auto"/>
                <w:sz w:val="24"/>
                <w:highlight w:val="none"/>
                <w:lang w:val="en-US" w:eastAsia="zh-CN"/>
              </w:rPr>
              <w:t>进行评审，</w:t>
            </w:r>
            <w:r>
              <w:rPr>
                <w:rFonts w:hint="eastAsia" w:ascii="宋体" w:hAnsi="宋体" w:eastAsia="宋体" w:cs="宋体"/>
                <w:color w:val="auto"/>
                <w:sz w:val="24"/>
                <w:highlight w:val="none"/>
              </w:rPr>
              <w:t>要求提供至少包含：①对施工进度的关键因素分析；②保证措施和人员分工的合理性</w:t>
            </w:r>
            <w:r>
              <w:rPr>
                <w:rFonts w:hint="eastAsia" w:ascii="宋体" w:hAnsi="宋体" w:eastAsia="宋体" w:cs="宋体"/>
                <w:color w:val="auto"/>
                <w:sz w:val="24"/>
                <w:highlight w:val="none"/>
                <w:lang w:val="en-US" w:eastAsia="zh-CN"/>
              </w:rPr>
              <w:t>方案</w:t>
            </w:r>
            <w:r>
              <w:rPr>
                <w:rFonts w:hint="eastAsia" w:ascii="宋体" w:hAnsi="宋体" w:eastAsia="宋体" w:cs="宋体"/>
                <w:color w:val="auto"/>
                <w:sz w:val="24"/>
                <w:highlight w:val="none"/>
              </w:rPr>
              <w:t>；③实施计划、工期进度安排；④工期进度安排等方面内容进行综合评定：优于项目需求的得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分；满足项目需求的得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分；不满足或无此项内容的本项不得分。</w:t>
            </w:r>
          </w:p>
          <w:p w14:paraId="134E4A5D">
            <w:pPr>
              <w:widowControl/>
              <w:spacing w:line="360" w:lineRule="exact"/>
              <w:ind w:firstLine="420" w:firstLineChars="0"/>
              <w:jc w:val="left"/>
              <w:rPr>
                <w:rFonts w:hint="eastAsia" w:ascii="宋体" w:hAnsi="宋体" w:eastAsia="宋体" w:cs="宋体"/>
                <w:color w:val="auto"/>
                <w:sz w:val="24"/>
                <w:highlight w:val="none"/>
              </w:rPr>
            </w:pPr>
          </w:p>
          <w:p w14:paraId="54015CB9">
            <w:pPr>
              <w:rPr>
                <w:rFonts w:hint="eastAsia"/>
              </w:rPr>
            </w:pPr>
          </w:p>
        </w:tc>
      </w:tr>
      <w:tr w14:paraId="60C7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5" w:hRule="atLeast"/>
          <w:jc w:val="center"/>
        </w:trPr>
        <w:tc>
          <w:tcPr>
            <w:tcW w:w="568" w:type="dxa"/>
            <w:noWrap w:val="0"/>
            <w:vAlign w:val="center"/>
          </w:tcPr>
          <w:p w14:paraId="706CDD6E">
            <w:pPr>
              <w:widowControl/>
              <w:spacing w:line="400" w:lineRule="exact"/>
              <w:jc w:val="center"/>
              <w:rPr>
                <w:rFonts w:hint="eastAsia" w:ascii="宋体" w:hAnsi="宋体" w:cs="宋体"/>
                <w:b/>
                <w:bCs/>
                <w:color w:val="000000" w:themeColor="text1"/>
                <w:lang w:val="en-US" w:eastAsia="zh-CN"/>
                <w14:textFill>
                  <w14:solidFill>
                    <w14:schemeClr w14:val="tx1"/>
                  </w14:solidFill>
                </w14:textFill>
              </w:rPr>
            </w:pPr>
          </w:p>
        </w:tc>
        <w:tc>
          <w:tcPr>
            <w:tcW w:w="1414" w:type="dxa"/>
            <w:noWrap w:val="0"/>
            <w:vAlign w:val="center"/>
          </w:tcPr>
          <w:p w14:paraId="7A00A85B">
            <w:pPr>
              <w:widowControl/>
              <w:spacing w:line="400" w:lineRule="exact"/>
              <w:jc w:val="center"/>
              <w:rPr>
                <w:rFonts w:hint="eastAsia" w:ascii="宋体" w:hAnsi="宋体" w:cs="宋体"/>
                <w:b/>
                <w:bCs/>
                <w:color w:val="000000" w:themeColor="text1"/>
                <w14:textFill>
                  <w14:solidFill>
                    <w14:schemeClr w14:val="tx1"/>
                  </w14:solidFill>
                </w14:textFill>
              </w:rPr>
            </w:pPr>
          </w:p>
        </w:tc>
        <w:tc>
          <w:tcPr>
            <w:tcW w:w="7668" w:type="dxa"/>
            <w:noWrap w:val="0"/>
            <w:vAlign w:val="center"/>
          </w:tcPr>
          <w:p w14:paraId="67AA507D">
            <w:pPr>
              <w:widowControl/>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3.安全管理方案和措施（</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1BE78C2B">
            <w:pPr>
              <w:widowControl/>
              <w:spacing w:line="3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根据投标供应商提供</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安全管理方案和措施</w:t>
            </w:r>
            <w:r>
              <w:rPr>
                <w:rFonts w:hint="eastAsia" w:ascii="宋体" w:hAnsi="宋体" w:eastAsia="宋体" w:cs="宋体"/>
                <w:color w:val="auto"/>
                <w:sz w:val="24"/>
                <w:highlight w:val="none"/>
                <w:lang w:val="en-US" w:eastAsia="zh-CN"/>
              </w:rPr>
              <w:t>进行评审，</w:t>
            </w:r>
            <w:r>
              <w:rPr>
                <w:rFonts w:hint="eastAsia" w:ascii="宋体" w:hAnsi="宋体" w:eastAsia="宋体" w:cs="宋体"/>
                <w:color w:val="auto"/>
                <w:sz w:val="24"/>
                <w:highlight w:val="none"/>
              </w:rPr>
              <w:t>要求提供至少包含：①安全管理方案；②安全管理制度；③岗位职责的健全</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④安全保证措施等方面内容。进行综合评定：优于项目需求的得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分；满足项目需求的得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分；不满足或无此项内容的本项不得分。</w:t>
            </w:r>
          </w:p>
          <w:p w14:paraId="4457D635">
            <w:pPr>
              <w:widowControl/>
              <w:numPr>
                <w:ilvl w:val="0"/>
                <w:numId w:val="3"/>
              </w:numPr>
              <w:spacing w:line="360" w:lineRule="exact"/>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项目组织结构（</w:t>
            </w:r>
            <w:r>
              <w:rPr>
                <w:rFonts w:hint="eastAsia" w:ascii="宋体" w:hAnsi="宋体" w:cs="宋体"/>
                <w:b w:val="0"/>
                <w:bCs w:val="0"/>
                <w:color w:val="auto"/>
                <w:sz w:val="24"/>
                <w:highlight w:val="none"/>
                <w:lang w:val="en-US" w:eastAsia="zh-CN"/>
              </w:rPr>
              <w:t>10</w:t>
            </w:r>
            <w:r>
              <w:rPr>
                <w:rFonts w:hint="eastAsia" w:ascii="宋体" w:hAnsi="宋体" w:eastAsia="宋体" w:cs="宋体"/>
                <w:b w:val="0"/>
                <w:bCs w:val="0"/>
                <w:color w:val="auto"/>
                <w:sz w:val="24"/>
                <w:highlight w:val="none"/>
              </w:rPr>
              <w:t>分）</w:t>
            </w:r>
          </w:p>
          <w:p w14:paraId="0741CA3F">
            <w:pPr>
              <w:widowControl/>
              <w:spacing w:line="360" w:lineRule="exact"/>
              <w:ind w:firstLine="480" w:firstLineChars="200"/>
              <w:jc w:val="left"/>
              <w:rPr>
                <w:rFonts w:hint="default"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根据投标供应商提供的项目组织结构进行评审，要求提供至少包含：①合理安排项目部组织结构；②项目组人员专业齐全，执业资格齐全等方面内容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进行综合评定：优于项目需求的得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分；满足项目需求的得</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分；不满足或无此项内容的本项不得分。</w:t>
            </w:r>
          </w:p>
          <w:p w14:paraId="2017C972">
            <w:pPr>
              <w:widowControl/>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.质量管理方案和措施（</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3962D437">
            <w:pPr>
              <w:widowControl/>
              <w:spacing w:line="3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根据投标供应商提供</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质量管理方案和措施</w:t>
            </w:r>
            <w:r>
              <w:rPr>
                <w:rFonts w:hint="eastAsia" w:ascii="宋体" w:hAnsi="宋体" w:eastAsia="宋体" w:cs="宋体"/>
                <w:color w:val="auto"/>
                <w:sz w:val="24"/>
                <w:highlight w:val="none"/>
                <w:lang w:val="en-US" w:eastAsia="zh-CN"/>
              </w:rPr>
              <w:t>进行评审，</w:t>
            </w:r>
            <w:r>
              <w:rPr>
                <w:rFonts w:hint="eastAsia" w:ascii="宋体" w:hAnsi="宋体" w:eastAsia="宋体" w:cs="宋体"/>
                <w:color w:val="auto"/>
                <w:sz w:val="24"/>
                <w:highlight w:val="none"/>
              </w:rPr>
              <w:t>要求提供至少包含：①确定质量方针和目标；②具体质量措施等方面内容进行综合评定：优于项目需求的得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分；满足项目需求的得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分；不满足或无此项内容的本项不得分。</w:t>
            </w:r>
          </w:p>
          <w:p w14:paraId="36ED69DA">
            <w:pPr>
              <w:widowControl/>
              <w:spacing w:line="36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.文明施工及环境保护方案（</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p w14:paraId="361B599F">
            <w:pPr>
              <w:widowControl/>
              <w:spacing w:line="36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根据投标供应商提供</w:t>
            </w:r>
            <w:r>
              <w:rPr>
                <w:rFonts w:hint="eastAsia" w:ascii="宋体" w:hAnsi="宋体" w:eastAsia="宋体" w:cs="宋体"/>
                <w:color w:val="auto"/>
                <w:sz w:val="24"/>
                <w:highlight w:val="none"/>
                <w:lang w:val="en-US" w:eastAsia="zh-CN"/>
              </w:rPr>
              <w:t>的</w:t>
            </w:r>
            <w:r>
              <w:rPr>
                <w:rFonts w:hint="eastAsia" w:ascii="宋体" w:hAnsi="宋体" w:eastAsia="宋体" w:cs="宋体"/>
                <w:color w:val="auto"/>
                <w:sz w:val="24"/>
                <w:highlight w:val="none"/>
              </w:rPr>
              <w:t>文明施工及环境保护方案</w:t>
            </w:r>
            <w:r>
              <w:rPr>
                <w:rFonts w:hint="eastAsia" w:ascii="宋体" w:hAnsi="宋体" w:eastAsia="宋体" w:cs="宋体"/>
                <w:color w:val="auto"/>
                <w:sz w:val="24"/>
                <w:highlight w:val="none"/>
                <w:lang w:val="en-US" w:eastAsia="zh-CN"/>
              </w:rPr>
              <w:t>进行评审，</w:t>
            </w:r>
            <w:r>
              <w:rPr>
                <w:rFonts w:hint="eastAsia" w:ascii="宋体" w:hAnsi="宋体" w:eastAsia="宋体" w:cs="宋体"/>
                <w:color w:val="auto"/>
                <w:sz w:val="24"/>
                <w:highlight w:val="none"/>
              </w:rPr>
              <w:t>要求提供至少包含：①现场管理；②人员管理；③卫生管理；④工序衔接与成品保护等方面内容</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进行综合评定：优于项目需求的得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分；满足项目需求的得</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分；不满足或无此项内容的本项不得分。</w:t>
            </w:r>
          </w:p>
          <w:p w14:paraId="68C758B3">
            <w:pPr>
              <w:widowControl/>
              <w:spacing w:line="360" w:lineRule="exact"/>
              <w:jc w:val="left"/>
              <w:rPr>
                <w:rFonts w:hint="eastAsia" w:ascii="宋体" w:hAnsi="宋体" w:eastAsia="宋体" w:cs="宋体"/>
                <w:color w:val="auto"/>
                <w:sz w:val="24"/>
                <w:highlight w:val="none"/>
              </w:rPr>
            </w:pPr>
          </w:p>
        </w:tc>
      </w:tr>
    </w:tbl>
    <w:p w14:paraId="10EFA26A">
      <w:pPr>
        <w:pStyle w:val="4"/>
        <w:rPr>
          <w:rFonts w:ascii="宋体" w:hAnsi="宋体" w:cs="宋体"/>
          <w:color w:val="000000" w:themeColor="text1"/>
          <w14:textFill>
            <w14:solidFill>
              <w14:schemeClr w14:val="tx1"/>
            </w14:solidFill>
          </w14:textFill>
        </w:rPr>
      </w:pPr>
    </w:p>
    <w:p w14:paraId="6DF7C040">
      <w:pPr>
        <w:tabs>
          <w:tab w:val="left" w:pos="900"/>
        </w:tabs>
        <w:spacing w:line="360" w:lineRule="auto"/>
        <w:ind w:firstLine="300"/>
        <w:rPr>
          <w:rFonts w:ascii="宋体" w:hAnsi="宋体" w:cs="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注：</w:t>
      </w:r>
      <w:r>
        <w:rPr>
          <w:rFonts w:hint="eastAsia" w:ascii="宋体" w:hAnsi="宋体" w:cs="宋体"/>
          <w:b/>
          <w:color w:val="000000" w:themeColor="text1"/>
          <w:sz w:val="24"/>
          <w:szCs w:val="24"/>
          <w14:textFill>
            <w14:solidFill>
              <w14:schemeClr w14:val="tx1"/>
            </w14:solidFill>
          </w14:textFill>
        </w:rPr>
        <w:t>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p>
    <w:p w14:paraId="06C961AD">
      <w:pPr>
        <w:pStyle w:val="16"/>
        <w:rPr>
          <w:rFonts w:hint="eastAsia"/>
          <w:color w:val="000000" w:themeColor="text1"/>
          <w:sz w:val="36"/>
          <w:szCs w:val="36"/>
          <w14:textFill>
            <w14:solidFill>
              <w14:schemeClr w14:val="tx1"/>
            </w14:solidFill>
          </w14:textFill>
        </w:rPr>
        <w:sectPr>
          <w:footerReference r:id="rId6" w:type="default"/>
          <w:pgSz w:w="11906" w:h="16838"/>
          <w:pgMar w:top="1015" w:right="1196" w:bottom="868" w:left="1259" w:header="851" w:footer="907" w:gutter="0"/>
          <w:pgNumType w:fmt="decimal"/>
          <w:cols w:space="720" w:num="1"/>
          <w:docGrid w:linePitch="360" w:charSpace="0"/>
        </w:sectPr>
      </w:pPr>
    </w:p>
    <w:p w14:paraId="3D234415">
      <w:pPr>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rPr>
        <w:t> </w:t>
      </w:r>
    </w:p>
    <w:p w14:paraId="1B690A39">
      <w:pPr>
        <w:pStyle w:val="15"/>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响应文件格式 </w:t>
      </w:r>
    </w:p>
    <w:p w14:paraId="56F1597D">
      <w:pPr>
        <w:pStyle w:val="15"/>
        <w:spacing w:beforeAutospacing="0" w:afterAutospacing="0"/>
        <w:jc w:val="center"/>
        <w:rPr>
          <w:rFonts w:hint="eastAsia" w:ascii="宋体" w:hAnsi="宋体" w:eastAsia="宋体" w:cs="宋体"/>
          <w:b/>
          <w:color w:val="auto"/>
          <w:sz w:val="72"/>
          <w:szCs w:val="72"/>
          <w:highlight w:val="none"/>
        </w:rPr>
      </w:pPr>
      <w:bookmarkStart w:id="181" w:name="_Toc49090576"/>
      <w:bookmarkEnd w:id="181"/>
      <w:bookmarkStart w:id="182" w:name="_Toc120614282"/>
      <w:bookmarkEnd w:id="182"/>
      <w:bookmarkStart w:id="183" w:name="_Toc26554094"/>
      <w:bookmarkStart w:id="184" w:name="_Hlt26955039"/>
      <w:bookmarkStart w:id="185" w:name="_Hlt26671244"/>
    </w:p>
    <w:p w14:paraId="2AC7E83B">
      <w:pPr>
        <w:pStyle w:val="15"/>
        <w:spacing w:beforeAutospacing="0" w:afterAutospacing="0"/>
        <w:jc w:val="center"/>
        <w:rPr>
          <w:rFonts w:hint="eastAsia" w:ascii="宋体" w:hAnsi="宋体" w:eastAsia="宋体" w:cs="宋体"/>
          <w:b/>
          <w:color w:val="auto"/>
          <w:sz w:val="72"/>
          <w:szCs w:val="72"/>
          <w:highlight w:val="none"/>
        </w:rPr>
      </w:pPr>
    </w:p>
    <w:p w14:paraId="5AF686D5">
      <w:pPr>
        <w:pStyle w:val="15"/>
        <w:spacing w:beforeAutospacing="0" w:afterAutospacing="0"/>
        <w:jc w:val="center"/>
        <w:rPr>
          <w:color w:val="auto"/>
          <w:highlight w:val="none"/>
        </w:rPr>
      </w:pPr>
      <w:r>
        <w:rPr>
          <w:rFonts w:hint="eastAsia" w:ascii="宋体" w:hAnsi="宋体" w:eastAsia="宋体" w:cs="宋体"/>
          <w:b/>
          <w:color w:val="auto"/>
          <w:sz w:val="72"/>
          <w:szCs w:val="72"/>
          <w:highlight w:val="none"/>
        </w:rPr>
        <w:t>响  应  文  件</w:t>
      </w:r>
    </w:p>
    <w:p w14:paraId="115CD384">
      <w:pPr>
        <w:pStyle w:val="15"/>
        <w:spacing w:beforeAutospacing="0" w:afterAutospacing="0"/>
        <w:jc w:val="center"/>
        <w:rPr>
          <w:color w:val="auto"/>
          <w:highlight w:val="none"/>
        </w:rPr>
      </w:pPr>
      <w:r>
        <w:rPr>
          <w:color w:val="auto"/>
          <w:highlight w:val="none"/>
        </w:rPr>
        <w:t> </w:t>
      </w:r>
    </w:p>
    <w:p w14:paraId="51BB14D4">
      <w:pPr>
        <w:pStyle w:val="15"/>
        <w:spacing w:beforeAutospacing="0" w:afterAutospacing="0"/>
        <w:jc w:val="center"/>
        <w:rPr>
          <w:color w:val="auto"/>
          <w:highlight w:val="none"/>
        </w:rPr>
      </w:pPr>
      <w:r>
        <w:rPr>
          <w:color w:val="auto"/>
          <w:highlight w:val="none"/>
        </w:rPr>
        <w:t> </w:t>
      </w:r>
    </w:p>
    <w:p w14:paraId="32E70BBA">
      <w:pPr>
        <w:pStyle w:val="15"/>
        <w:spacing w:beforeAutospacing="0" w:afterAutospacing="0"/>
        <w:jc w:val="center"/>
        <w:rPr>
          <w:color w:val="auto"/>
          <w:highlight w:val="none"/>
        </w:rPr>
      </w:pPr>
      <w:r>
        <w:rPr>
          <w:color w:val="auto"/>
          <w:highlight w:val="none"/>
        </w:rPr>
        <w:t> </w:t>
      </w:r>
    </w:p>
    <w:p w14:paraId="68F58724">
      <w:pPr>
        <w:pStyle w:val="15"/>
        <w:spacing w:beforeAutospacing="0" w:afterAutospacing="0"/>
        <w:jc w:val="center"/>
        <w:rPr>
          <w:color w:val="auto"/>
          <w:highlight w:val="none"/>
        </w:rPr>
      </w:pPr>
      <w:r>
        <w:rPr>
          <w:color w:val="auto"/>
          <w:highlight w:val="none"/>
        </w:rPr>
        <w:t> </w:t>
      </w:r>
    </w:p>
    <w:p w14:paraId="19DFB57E">
      <w:pPr>
        <w:pStyle w:val="15"/>
        <w:spacing w:beforeAutospacing="0" w:afterAutospacing="0"/>
        <w:jc w:val="center"/>
        <w:rPr>
          <w:color w:val="auto"/>
          <w:highlight w:val="none"/>
        </w:rPr>
      </w:pPr>
      <w:r>
        <w:rPr>
          <w:color w:val="auto"/>
          <w:highlight w:val="none"/>
        </w:rPr>
        <w:t> </w:t>
      </w:r>
    </w:p>
    <w:p w14:paraId="502D6093">
      <w:pPr>
        <w:pStyle w:val="15"/>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6FEF7D8">
      <w:pPr>
        <w:pStyle w:val="15"/>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7B7C363E">
      <w:pPr>
        <w:pStyle w:val="15"/>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22BD6A5B">
      <w:pPr>
        <w:pStyle w:val="15"/>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p>
    <w:p w14:paraId="4146A9A5">
      <w:pPr>
        <w:pStyle w:val="15"/>
        <w:spacing w:beforeAutospacing="0" w:afterAutospacing="0" w:line="0" w:lineRule="atLeast"/>
        <w:jc w:val="center"/>
        <w:rPr>
          <w:color w:val="auto"/>
          <w:highlight w:val="none"/>
        </w:rPr>
      </w:pPr>
      <w:r>
        <w:rPr>
          <w:color w:val="auto"/>
          <w:highlight w:val="none"/>
        </w:rPr>
        <w:t> </w:t>
      </w:r>
    </w:p>
    <w:p w14:paraId="7517C865">
      <w:pPr>
        <w:pStyle w:val="15"/>
        <w:spacing w:beforeAutospacing="0" w:afterAutospacing="0" w:line="0" w:lineRule="atLeast"/>
        <w:jc w:val="center"/>
        <w:rPr>
          <w:rFonts w:ascii="宋体" w:hAnsi="宋体" w:eastAsia="宋体" w:cs="宋体"/>
          <w:b/>
          <w:color w:val="auto"/>
          <w:sz w:val="32"/>
          <w:szCs w:val="32"/>
          <w:highlight w:val="none"/>
        </w:rPr>
      </w:pPr>
    </w:p>
    <w:p w14:paraId="465CC484">
      <w:pPr>
        <w:pStyle w:val="15"/>
        <w:spacing w:beforeAutospacing="0" w:afterAutospacing="0" w:line="0" w:lineRule="atLeast"/>
        <w:jc w:val="center"/>
        <w:rPr>
          <w:rFonts w:ascii="宋体" w:hAnsi="宋体" w:eastAsia="宋体" w:cs="宋体"/>
          <w:b/>
          <w:color w:val="auto"/>
          <w:sz w:val="32"/>
          <w:szCs w:val="32"/>
          <w:highlight w:val="none"/>
        </w:rPr>
      </w:pPr>
    </w:p>
    <w:p w14:paraId="5C0B7A81">
      <w:pPr>
        <w:pStyle w:val="15"/>
        <w:spacing w:beforeAutospacing="0" w:afterAutospacing="0" w:line="0" w:lineRule="atLeast"/>
        <w:jc w:val="center"/>
        <w:rPr>
          <w:rFonts w:ascii="宋体" w:hAnsi="宋体" w:eastAsia="宋体" w:cs="宋体"/>
          <w:b/>
          <w:color w:val="auto"/>
          <w:sz w:val="32"/>
          <w:szCs w:val="32"/>
          <w:highlight w:val="none"/>
        </w:rPr>
      </w:pPr>
    </w:p>
    <w:p w14:paraId="3E140484">
      <w:pPr>
        <w:pStyle w:val="15"/>
        <w:spacing w:beforeAutospacing="0" w:afterAutospacing="0" w:line="0" w:lineRule="atLeast"/>
        <w:jc w:val="center"/>
        <w:rPr>
          <w:rFonts w:ascii="宋体" w:hAnsi="宋体" w:eastAsia="宋体" w:cs="宋体"/>
          <w:b/>
          <w:color w:val="auto"/>
          <w:sz w:val="32"/>
          <w:szCs w:val="32"/>
          <w:highlight w:val="none"/>
        </w:rPr>
      </w:pPr>
    </w:p>
    <w:p w14:paraId="32529CB3">
      <w:pPr>
        <w:pStyle w:val="15"/>
        <w:spacing w:beforeAutospacing="0" w:afterAutospacing="0" w:line="0" w:lineRule="atLeast"/>
        <w:jc w:val="center"/>
        <w:rPr>
          <w:rFonts w:ascii="宋体" w:hAnsi="宋体" w:eastAsia="宋体" w:cs="宋体"/>
          <w:b/>
          <w:color w:val="auto"/>
          <w:sz w:val="32"/>
          <w:szCs w:val="32"/>
          <w:highlight w:val="none"/>
        </w:rPr>
      </w:pPr>
    </w:p>
    <w:p w14:paraId="1EFA9249">
      <w:pPr>
        <w:pStyle w:val="15"/>
        <w:spacing w:beforeAutospacing="0" w:afterAutospacing="0" w:line="0" w:lineRule="atLeast"/>
        <w:jc w:val="center"/>
        <w:rPr>
          <w:rFonts w:ascii="宋体" w:hAnsi="宋体" w:eastAsia="宋体" w:cs="宋体"/>
          <w:b/>
          <w:color w:val="auto"/>
          <w:sz w:val="32"/>
          <w:szCs w:val="32"/>
          <w:highlight w:val="none"/>
        </w:rPr>
      </w:pPr>
    </w:p>
    <w:p w14:paraId="334EBA78">
      <w:pPr>
        <w:pStyle w:val="15"/>
        <w:spacing w:beforeAutospacing="0" w:afterAutospacing="0" w:line="0" w:lineRule="atLeast"/>
        <w:jc w:val="center"/>
        <w:rPr>
          <w:rFonts w:ascii="宋体" w:hAnsi="宋体" w:eastAsia="宋体" w:cs="宋体"/>
          <w:b/>
          <w:color w:val="auto"/>
          <w:sz w:val="32"/>
          <w:szCs w:val="32"/>
          <w:highlight w:val="none"/>
        </w:rPr>
      </w:pPr>
    </w:p>
    <w:p w14:paraId="0D920710">
      <w:pPr>
        <w:pStyle w:val="15"/>
        <w:spacing w:beforeAutospacing="0" w:afterAutospacing="0" w:line="0" w:lineRule="atLeast"/>
        <w:jc w:val="center"/>
        <w:rPr>
          <w:rFonts w:ascii="宋体" w:hAnsi="宋体" w:eastAsia="宋体" w:cs="宋体"/>
          <w:b/>
          <w:color w:val="auto"/>
          <w:sz w:val="32"/>
          <w:szCs w:val="32"/>
          <w:highlight w:val="none"/>
        </w:rPr>
      </w:pPr>
    </w:p>
    <w:p w14:paraId="6F3BE31D">
      <w:pPr>
        <w:pStyle w:val="15"/>
        <w:spacing w:beforeAutospacing="0" w:afterAutospacing="0" w:line="0" w:lineRule="atLeast"/>
        <w:jc w:val="center"/>
        <w:rPr>
          <w:rFonts w:ascii="宋体" w:hAnsi="宋体" w:eastAsia="宋体" w:cs="宋体"/>
          <w:b/>
          <w:color w:val="auto"/>
          <w:sz w:val="32"/>
          <w:szCs w:val="32"/>
          <w:highlight w:val="none"/>
        </w:rPr>
      </w:pPr>
    </w:p>
    <w:p w14:paraId="37DFFD03">
      <w:pPr>
        <w:pStyle w:val="15"/>
        <w:spacing w:beforeAutospacing="0" w:afterAutospacing="0" w:line="0" w:lineRule="atLeast"/>
        <w:jc w:val="center"/>
        <w:rPr>
          <w:rFonts w:ascii="宋体" w:hAnsi="宋体" w:eastAsia="宋体" w:cs="宋体"/>
          <w:b/>
          <w:color w:val="auto"/>
          <w:sz w:val="32"/>
          <w:szCs w:val="32"/>
          <w:highlight w:val="none"/>
        </w:rPr>
      </w:pPr>
    </w:p>
    <w:p w14:paraId="532FF12D">
      <w:pPr>
        <w:pStyle w:val="15"/>
        <w:spacing w:beforeAutospacing="0" w:afterAutospacing="0" w:line="0" w:lineRule="atLeast"/>
        <w:jc w:val="center"/>
        <w:rPr>
          <w:rFonts w:ascii="宋体" w:hAnsi="宋体" w:eastAsia="宋体" w:cs="宋体"/>
          <w:b/>
          <w:color w:val="auto"/>
          <w:sz w:val="32"/>
          <w:szCs w:val="32"/>
          <w:highlight w:val="none"/>
        </w:rPr>
      </w:pPr>
    </w:p>
    <w:p w14:paraId="5B180F80">
      <w:pPr>
        <w:pStyle w:val="15"/>
        <w:spacing w:beforeAutospacing="0" w:afterAutospacing="0" w:line="0" w:lineRule="atLeast"/>
        <w:jc w:val="center"/>
        <w:rPr>
          <w:rFonts w:ascii="宋体" w:hAnsi="宋体" w:eastAsia="宋体" w:cs="宋体"/>
          <w:b/>
          <w:color w:val="auto"/>
          <w:sz w:val="32"/>
          <w:szCs w:val="32"/>
          <w:highlight w:val="none"/>
        </w:rPr>
      </w:pPr>
    </w:p>
    <w:p w14:paraId="55FFBCA2">
      <w:pPr>
        <w:pStyle w:val="15"/>
        <w:spacing w:beforeAutospacing="0" w:afterAutospacing="0" w:line="0" w:lineRule="atLeast"/>
        <w:jc w:val="center"/>
        <w:rPr>
          <w:rFonts w:ascii="宋体" w:hAnsi="宋体" w:eastAsia="宋体" w:cs="宋体"/>
          <w:b/>
          <w:color w:val="auto"/>
          <w:sz w:val="32"/>
          <w:szCs w:val="32"/>
          <w:highlight w:val="none"/>
        </w:rPr>
      </w:pPr>
    </w:p>
    <w:p w14:paraId="4888380E">
      <w:pPr>
        <w:pStyle w:val="15"/>
        <w:spacing w:beforeAutospacing="0" w:afterAutospacing="0" w:line="0" w:lineRule="atLeast"/>
        <w:jc w:val="both"/>
        <w:rPr>
          <w:rFonts w:ascii="宋体" w:hAnsi="宋体" w:eastAsia="宋体" w:cs="宋体"/>
          <w:b/>
          <w:color w:val="auto"/>
          <w:sz w:val="32"/>
          <w:szCs w:val="32"/>
          <w:highlight w:val="none"/>
        </w:rPr>
      </w:pPr>
    </w:p>
    <w:p w14:paraId="3EF76652">
      <w:pPr>
        <w:pStyle w:val="15"/>
        <w:spacing w:beforeAutospacing="0" w:afterAutospacing="0" w:line="0" w:lineRule="atLeast"/>
        <w:jc w:val="center"/>
        <w:rPr>
          <w:rFonts w:hint="eastAsia" w:ascii="宋体" w:hAnsi="宋体" w:eastAsia="宋体" w:cs="宋体"/>
          <w:b/>
          <w:color w:val="auto"/>
          <w:sz w:val="32"/>
          <w:szCs w:val="32"/>
          <w:highlight w:val="none"/>
        </w:rPr>
      </w:pPr>
    </w:p>
    <w:p w14:paraId="70A959D4">
      <w:pPr>
        <w:pStyle w:val="15"/>
        <w:spacing w:beforeAutospacing="0" w:afterAutospacing="0" w:line="0" w:lineRule="atLeast"/>
        <w:jc w:val="center"/>
        <w:rPr>
          <w:rFonts w:hint="eastAsia" w:ascii="宋体" w:hAnsi="宋体" w:eastAsia="宋体" w:cs="宋体"/>
          <w:b/>
          <w:color w:val="auto"/>
          <w:sz w:val="32"/>
          <w:szCs w:val="32"/>
          <w:highlight w:val="none"/>
        </w:rPr>
      </w:pPr>
    </w:p>
    <w:p w14:paraId="307BF343">
      <w:pPr>
        <w:pStyle w:val="15"/>
        <w:spacing w:beforeAutospacing="0" w:afterAutospacing="0" w:line="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响应文件目录</w:t>
      </w:r>
    </w:p>
    <w:p w14:paraId="5B41C696">
      <w:pPr>
        <w:pStyle w:val="15"/>
        <w:spacing w:beforeAutospacing="0" w:afterAutospacing="0" w:line="0" w:lineRule="atLeast"/>
        <w:jc w:val="center"/>
        <w:rPr>
          <w:color w:val="auto"/>
          <w:highlight w:val="none"/>
        </w:rPr>
      </w:pPr>
      <w:r>
        <w:rPr>
          <w:color w:val="auto"/>
          <w:highlight w:val="none"/>
        </w:rPr>
        <w:t> </w:t>
      </w:r>
    </w:p>
    <w:p w14:paraId="7B27F066">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一、法人或者其他组织的营业执照等证明文件</w:t>
      </w:r>
      <w:r>
        <w:rPr>
          <w:rFonts w:hint="eastAsia" w:asciiTheme="minorEastAsia" w:hAnsiTheme="minorEastAsia" w:cstheme="minorEastAsia"/>
          <w:i w:val="0"/>
          <w:iCs/>
          <w:color w:val="auto"/>
          <w:sz w:val="24"/>
          <w:szCs w:val="24"/>
          <w:highlight w:val="none"/>
          <w:u w:val="single"/>
          <w:lang w:val="en-US" w:eastAsia="zh-CN"/>
        </w:rPr>
        <w:t>或</w:t>
      </w:r>
      <w:r>
        <w:rPr>
          <w:rFonts w:hint="eastAsia" w:asciiTheme="minorEastAsia" w:hAnsiTheme="minorEastAsia" w:eastAsiaTheme="minorEastAsia" w:cstheme="minorEastAsia"/>
          <w:i w:val="0"/>
          <w:iCs/>
          <w:color w:val="auto"/>
          <w:sz w:val="24"/>
          <w:szCs w:val="24"/>
          <w:highlight w:val="none"/>
          <w:u w:val="single"/>
        </w:rPr>
        <w:t>自然人的身份证明</w:t>
      </w:r>
    </w:p>
    <w:p w14:paraId="37531448">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二、上一年度的财务状况报</w:t>
      </w:r>
      <w:r>
        <w:rPr>
          <w:rFonts w:hint="eastAsia" w:asciiTheme="minorEastAsia" w:hAnsiTheme="minorEastAsia" w:cstheme="minorEastAsia"/>
          <w:i w:val="0"/>
          <w:iCs/>
          <w:color w:val="auto"/>
          <w:sz w:val="24"/>
          <w:szCs w:val="24"/>
          <w:highlight w:val="none"/>
          <w:u w:val="single"/>
          <w:lang w:val="en-US" w:eastAsia="zh-CN"/>
        </w:rPr>
        <w:t>告</w:t>
      </w:r>
      <w:r>
        <w:rPr>
          <w:rFonts w:hint="eastAsia" w:asciiTheme="minorEastAsia" w:hAnsiTheme="minorEastAsia" w:eastAsiaTheme="minorEastAsia" w:cstheme="minorEastAsia"/>
          <w:i w:val="0"/>
          <w:iCs/>
          <w:color w:val="auto"/>
          <w:sz w:val="24"/>
          <w:szCs w:val="24"/>
          <w:highlight w:val="none"/>
          <w:u w:val="single"/>
        </w:rPr>
        <w:t>（</w:t>
      </w:r>
      <w:r>
        <w:rPr>
          <w:rFonts w:hint="eastAsia" w:ascii="宋体" w:hAnsi="宋体" w:cs="宋体"/>
          <w:color w:val="000000" w:themeColor="text1"/>
          <w:sz w:val="24"/>
          <w:u w:val="single"/>
          <w14:textFill>
            <w14:solidFill>
              <w14:schemeClr w14:val="tx1"/>
            </w14:solidFill>
          </w14:textFill>
        </w:rPr>
        <w:t>至少提供资产负债表、利润表、现金流量表，磋商供应商成立不满一年无需提供</w:t>
      </w:r>
      <w:r>
        <w:rPr>
          <w:rFonts w:hint="eastAsia" w:asciiTheme="minorEastAsia" w:hAnsiTheme="minorEastAsia" w:eastAsiaTheme="minorEastAsia" w:cstheme="minorEastAsia"/>
          <w:i w:val="0"/>
          <w:iCs/>
          <w:color w:val="auto"/>
          <w:sz w:val="24"/>
          <w:szCs w:val="24"/>
          <w:highlight w:val="none"/>
          <w:u w:val="single"/>
        </w:rPr>
        <w:t>）</w:t>
      </w:r>
    </w:p>
    <w:p w14:paraId="04D4E413">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lang w:val="en-US" w:eastAsia="zh-CN"/>
        </w:rPr>
        <w:t>三</w:t>
      </w:r>
      <w:r>
        <w:rPr>
          <w:rFonts w:hint="eastAsia" w:asciiTheme="minorEastAsia" w:hAnsiTheme="minorEastAsia" w:eastAsiaTheme="minorEastAsia" w:cstheme="minorEastAsia"/>
          <w:i w:val="0"/>
          <w:iCs/>
          <w:color w:val="auto"/>
          <w:sz w:val="24"/>
          <w:szCs w:val="24"/>
          <w:highlight w:val="none"/>
          <w:u w:val="single"/>
        </w:rPr>
        <w:t>、具备履行合同所必需的设备和专业技术能力的书面声明</w:t>
      </w:r>
    </w:p>
    <w:p w14:paraId="4CAA3DBD">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lang w:val="en-US" w:eastAsia="zh-CN"/>
        </w:rPr>
        <w:t>四</w:t>
      </w:r>
      <w:r>
        <w:rPr>
          <w:rFonts w:hint="eastAsia" w:asciiTheme="minorEastAsia" w:hAnsiTheme="minorEastAsia" w:eastAsiaTheme="minorEastAsia" w:cstheme="minorEastAsia"/>
          <w:i w:val="0"/>
          <w:iCs/>
          <w:color w:val="auto"/>
          <w:sz w:val="24"/>
          <w:szCs w:val="24"/>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05189FB9">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五、参加政府采购活动前3年内在经营活动中没有重大违法记录的书面声明</w:t>
      </w:r>
    </w:p>
    <w:p w14:paraId="698B474A">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六、特定资格要求的证明文件（如果本项目设置特定资格要求，则需要提供）</w:t>
      </w:r>
    </w:p>
    <w:p w14:paraId="23822138">
      <w:pPr>
        <w:spacing w:line="360" w:lineRule="auto"/>
        <w:ind w:firstLine="482"/>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文件1  营业执照原件彩色扫描件</w:t>
      </w:r>
    </w:p>
    <w:p w14:paraId="2438FECA">
      <w:pPr>
        <w:spacing w:line="360" w:lineRule="auto"/>
        <w:ind w:firstLine="482"/>
        <w:rPr>
          <w:rFonts w:hint="default" w:ascii="宋体" w:hAnsi="宋体" w:cs="宋体" w:eastAsiaTheme="minorEastAsia"/>
          <w:color w:val="000000" w:themeColor="text1"/>
          <w:sz w:val="24"/>
          <w:u w:val="single"/>
          <w:lang w:val="en-US" w:eastAsia="zh-CN"/>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文件2  供应商施工资质证书、安全生产许可证、项目负责人建造师证书及安全生产考核合格证书（B类）</w:t>
      </w:r>
      <w:r>
        <w:rPr>
          <w:rFonts w:hint="eastAsia" w:ascii="宋体" w:hAnsi="宋体" w:cs="宋体"/>
          <w:color w:val="000000" w:themeColor="text1"/>
          <w:sz w:val="24"/>
          <w:u w:val="single"/>
          <w:lang w:eastAsia="zh-CN"/>
          <w14:textFill>
            <w14:solidFill>
              <w14:schemeClr w14:val="tx1"/>
            </w14:solidFill>
          </w14:textFill>
        </w:rPr>
        <w:t>、</w:t>
      </w:r>
      <w:r>
        <w:rPr>
          <w:rFonts w:hint="eastAsia" w:ascii="宋体" w:hAnsi="宋体" w:eastAsia="宋体" w:cs="宋体"/>
          <w:bCs/>
          <w:sz w:val="24"/>
          <w:szCs w:val="24"/>
          <w:highlight w:val="none"/>
          <w:u w:val="single"/>
          <w:lang w:val="en-US" w:eastAsia="zh-CN"/>
        </w:rPr>
        <w:t>技术负责人中级及以上技术职称证书及安全生产考核合格证书（B类）、专职安全员安全生产考核合格证书（C证）</w:t>
      </w:r>
      <w:r>
        <w:rPr>
          <w:rFonts w:hint="eastAsia" w:ascii="宋体" w:hAnsi="宋体" w:cs="宋体"/>
          <w:color w:val="000000" w:themeColor="text1"/>
          <w:sz w:val="24"/>
          <w:u w:val="single"/>
          <w14:textFill>
            <w14:solidFill>
              <w14:schemeClr w14:val="tx1"/>
            </w14:solidFill>
          </w14:textFill>
        </w:rPr>
        <w:t>（原件彩色扫描件）</w:t>
      </w:r>
    </w:p>
    <w:p w14:paraId="53B05A22">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宋体" w:hAnsi="宋体" w:cs="宋体"/>
          <w:color w:val="000000" w:themeColor="text1"/>
          <w:sz w:val="24"/>
          <w:u w:val="single"/>
          <w14:textFill>
            <w14:solidFill>
              <w14:schemeClr w14:val="tx1"/>
            </w14:solidFill>
          </w14:textFill>
        </w:rPr>
        <w:t xml:space="preserve">文件3 </w:t>
      </w:r>
      <w:r>
        <w:rPr>
          <w:rFonts w:hint="eastAsia" w:ascii="宋体" w:hAnsi="宋体" w:cs="宋体"/>
          <w:color w:val="000000" w:themeColor="text1"/>
          <w:sz w:val="24"/>
          <w:u w:val="single"/>
          <w:lang w:val="zh-CN"/>
          <w14:textFill>
            <w14:solidFill>
              <w14:schemeClr w14:val="tx1"/>
            </w14:solidFill>
          </w14:textFill>
        </w:rPr>
        <w:t>项目经理无在岗承诺书</w:t>
      </w:r>
      <w:r>
        <w:rPr>
          <w:rFonts w:hint="eastAsia" w:ascii="宋体" w:hAnsi="宋体" w:cs="宋体"/>
          <w:color w:val="000000" w:themeColor="text1"/>
          <w:sz w:val="24"/>
          <w:u w:val="single"/>
          <w:lang w:val="en-US" w:eastAsia="zh-CN"/>
          <w14:textFill>
            <w14:solidFill>
              <w14:schemeClr w14:val="tx1"/>
            </w14:solidFill>
          </w14:textFill>
        </w:rPr>
        <w:t>及</w:t>
      </w:r>
      <w:r>
        <w:rPr>
          <w:rFonts w:hint="eastAsia" w:ascii="宋体" w:hAnsi="宋体" w:cs="宋体"/>
          <w:color w:val="000000" w:themeColor="text1"/>
          <w:sz w:val="24"/>
          <w:u w:val="single"/>
          <w14:textFill>
            <w14:solidFill>
              <w14:schemeClr w14:val="tx1"/>
            </w14:solidFill>
          </w14:textFill>
        </w:rPr>
        <w:t>养老保险证明彩色扫描件</w:t>
      </w:r>
    </w:p>
    <w:p w14:paraId="2C9A71EB">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七、法人授权书</w:t>
      </w:r>
    </w:p>
    <w:p w14:paraId="572472C2">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八、磋商响应函</w:t>
      </w:r>
    </w:p>
    <w:p w14:paraId="7BE4CEF0">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九、</w:t>
      </w:r>
      <w:r>
        <w:rPr>
          <w:rFonts w:hint="eastAsia" w:asciiTheme="minorEastAsia" w:hAnsiTheme="minorEastAsia" w:eastAsiaTheme="minorEastAsia" w:cstheme="minorEastAsia"/>
          <w:i w:val="0"/>
          <w:iCs/>
          <w:color w:val="auto"/>
          <w:sz w:val="24"/>
          <w:szCs w:val="24"/>
          <w:highlight w:val="none"/>
          <w:u w:val="single"/>
          <w:lang w:val="en-US" w:eastAsia="zh-CN"/>
        </w:rPr>
        <w:t>中小</w:t>
      </w:r>
      <w:r>
        <w:rPr>
          <w:rFonts w:hint="eastAsia" w:asciiTheme="minorEastAsia" w:hAnsiTheme="minorEastAsia" w:eastAsiaTheme="minorEastAsia" w:cstheme="minorEastAsia"/>
          <w:i w:val="0"/>
          <w:iCs/>
          <w:color w:val="auto"/>
          <w:sz w:val="24"/>
          <w:szCs w:val="24"/>
          <w:highlight w:val="none"/>
          <w:u w:val="single"/>
        </w:rPr>
        <w:t>企业声明函</w:t>
      </w:r>
    </w:p>
    <w:p w14:paraId="6D19C05A">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十、残疾人福利性单位声明函</w:t>
      </w:r>
    </w:p>
    <w:p w14:paraId="45B957BD">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宋体" w:hAnsi="宋体" w:eastAsia="宋体" w:cs="宋体"/>
          <w:i w:val="0"/>
          <w:iCs/>
          <w:color w:val="auto"/>
          <w:highlight w:val="none"/>
          <w:u w:val="single"/>
          <w:lang w:val="en-US" w:eastAsia="zh-CN"/>
        </w:rPr>
        <w:t>十一、</w:t>
      </w:r>
      <w:r>
        <w:rPr>
          <w:rFonts w:hint="eastAsia" w:ascii="宋体" w:hAnsi="宋体" w:eastAsia="宋体" w:cs="宋体"/>
          <w:i w:val="0"/>
          <w:iCs/>
          <w:color w:val="auto"/>
          <w:highlight w:val="none"/>
          <w:u w:val="single"/>
        </w:rPr>
        <w:t xml:space="preserve"> </w:t>
      </w:r>
      <w:r>
        <w:rPr>
          <w:rFonts w:hint="eastAsia" w:ascii="宋体" w:hAnsi="宋体" w:cs="宋体"/>
          <w:color w:val="000000" w:themeColor="text1"/>
          <w:sz w:val="24"/>
          <w:u w:val="single"/>
          <w14:textFill>
            <w14:solidFill>
              <w14:schemeClr w14:val="tx1"/>
            </w14:solidFill>
          </w14:textFill>
        </w:rPr>
        <w:t>磋商报价表</w:t>
      </w:r>
    </w:p>
    <w:p w14:paraId="1126878E">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十</w:t>
      </w:r>
      <w:r>
        <w:rPr>
          <w:rFonts w:hint="eastAsia" w:asciiTheme="minorEastAsia" w:hAnsiTheme="minorEastAsia" w:cstheme="minorEastAsia"/>
          <w:i w:val="0"/>
          <w:iCs/>
          <w:color w:val="auto"/>
          <w:sz w:val="24"/>
          <w:szCs w:val="24"/>
          <w:highlight w:val="none"/>
          <w:u w:val="single"/>
          <w:lang w:val="en-US" w:eastAsia="zh-CN"/>
        </w:rPr>
        <w:t>二</w:t>
      </w:r>
      <w:r>
        <w:rPr>
          <w:rFonts w:hint="eastAsia" w:asciiTheme="minorEastAsia" w:hAnsiTheme="minorEastAsia" w:eastAsiaTheme="minorEastAsia" w:cstheme="minorEastAsia"/>
          <w:i w:val="0"/>
          <w:iCs/>
          <w:color w:val="auto"/>
          <w:sz w:val="24"/>
          <w:szCs w:val="24"/>
          <w:highlight w:val="none"/>
          <w:u w:val="single"/>
        </w:rPr>
        <w:t>、</w:t>
      </w:r>
      <w:r>
        <w:rPr>
          <w:rFonts w:hint="eastAsia" w:ascii="宋体" w:hAnsi="宋体" w:cs="宋体"/>
          <w:color w:val="000000" w:themeColor="text1"/>
          <w:sz w:val="24"/>
          <w:u w:val="single"/>
          <w14:textFill>
            <w14:solidFill>
              <w14:schemeClr w14:val="tx1"/>
            </w14:solidFill>
          </w14:textFill>
        </w:rPr>
        <w:t>已标价的工程量清单报价表</w:t>
      </w:r>
    </w:p>
    <w:p w14:paraId="3DB16F11">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十</w:t>
      </w:r>
      <w:r>
        <w:rPr>
          <w:rFonts w:hint="eastAsia" w:asciiTheme="minorEastAsia" w:hAnsiTheme="minorEastAsia" w:cstheme="minorEastAsia"/>
          <w:i w:val="0"/>
          <w:iCs/>
          <w:color w:val="auto"/>
          <w:sz w:val="24"/>
          <w:szCs w:val="24"/>
          <w:highlight w:val="none"/>
          <w:u w:val="single"/>
          <w:lang w:val="en-US" w:eastAsia="zh-CN"/>
        </w:rPr>
        <w:t>三</w:t>
      </w:r>
      <w:r>
        <w:rPr>
          <w:rFonts w:hint="eastAsia" w:asciiTheme="minorEastAsia" w:hAnsiTheme="minorEastAsia" w:eastAsiaTheme="minorEastAsia" w:cstheme="minorEastAsia"/>
          <w:i w:val="0"/>
          <w:iCs/>
          <w:color w:val="auto"/>
          <w:sz w:val="24"/>
          <w:szCs w:val="24"/>
          <w:highlight w:val="none"/>
          <w:u w:val="single"/>
        </w:rPr>
        <w:t>、</w:t>
      </w:r>
      <w:r>
        <w:rPr>
          <w:rFonts w:hint="eastAsia" w:ascii="宋体" w:hAnsi="宋体" w:cs="宋体"/>
          <w:color w:val="000000" w:themeColor="text1"/>
          <w:sz w:val="24"/>
          <w:u w:val="single"/>
          <w14:textFill>
            <w14:solidFill>
              <w14:schemeClr w14:val="tx1"/>
            </w14:solidFill>
          </w14:textFill>
        </w:rPr>
        <w:t>技术要求响应及偏离表</w:t>
      </w:r>
    </w:p>
    <w:p w14:paraId="516C87DD">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十</w:t>
      </w:r>
      <w:r>
        <w:rPr>
          <w:rFonts w:hint="eastAsia" w:asciiTheme="minorEastAsia" w:hAnsiTheme="minorEastAsia" w:cstheme="minorEastAsia"/>
          <w:i w:val="0"/>
          <w:iCs/>
          <w:color w:val="auto"/>
          <w:sz w:val="24"/>
          <w:szCs w:val="24"/>
          <w:highlight w:val="none"/>
          <w:u w:val="single"/>
          <w:lang w:val="en-US" w:eastAsia="zh-CN"/>
        </w:rPr>
        <w:t>四</w:t>
      </w:r>
      <w:r>
        <w:rPr>
          <w:rFonts w:hint="eastAsia" w:asciiTheme="minorEastAsia" w:hAnsiTheme="minorEastAsia" w:eastAsiaTheme="minorEastAsia" w:cstheme="minorEastAsia"/>
          <w:i w:val="0"/>
          <w:iCs/>
          <w:color w:val="auto"/>
          <w:sz w:val="24"/>
          <w:szCs w:val="24"/>
          <w:highlight w:val="none"/>
          <w:u w:val="single"/>
        </w:rPr>
        <w:t>、</w:t>
      </w:r>
      <w:r>
        <w:rPr>
          <w:rFonts w:hint="eastAsia" w:ascii="宋体" w:hAnsi="宋体" w:cs="宋体"/>
          <w:color w:val="000000" w:themeColor="text1"/>
          <w:sz w:val="24"/>
          <w:u w:val="single"/>
          <w14:textFill>
            <w14:solidFill>
              <w14:schemeClr w14:val="tx1"/>
            </w14:solidFill>
          </w14:textFill>
        </w:rPr>
        <w:t>商务要求响应及偏离表</w:t>
      </w:r>
    </w:p>
    <w:p w14:paraId="48EFFF5A">
      <w:pPr>
        <w:pStyle w:val="15"/>
        <w:keepNext w:val="0"/>
        <w:keepLines w:val="0"/>
        <w:pageBreakBefore w:val="0"/>
        <w:kinsoku/>
        <w:wordWrap/>
        <w:overflowPunct/>
        <w:topLinePunct w:val="0"/>
        <w:autoSpaceDE/>
        <w:autoSpaceDN/>
        <w:bidi w:val="0"/>
        <w:adjustRightInd/>
        <w:snapToGrid/>
        <w:spacing w:beforeAutospacing="0" w:afterAutospacing="0" w:line="500" w:lineRule="exact"/>
        <w:ind w:left="480"/>
        <w:jc w:val="both"/>
        <w:textAlignment w:val="auto"/>
        <w:rPr>
          <w:rFonts w:hint="eastAsia" w:asciiTheme="minorEastAsia" w:hAnsiTheme="minorEastAsia" w:eastAsiaTheme="minorEastAsia" w:cstheme="minorEastAsia"/>
          <w:i w:val="0"/>
          <w:iCs/>
          <w:color w:val="000000"/>
          <w:sz w:val="24"/>
          <w:szCs w:val="24"/>
          <w:highlight w:val="none"/>
          <w:u w:val="single"/>
        </w:rPr>
      </w:pPr>
      <w:r>
        <w:rPr>
          <w:rFonts w:hint="eastAsia" w:asciiTheme="minorEastAsia" w:hAnsiTheme="minorEastAsia" w:eastAsiaTheme="minorEastAsia" w:cstheme="minorEastAsia"/>
          <w:i w:val="0"/>
          <w:iCs/>
          <w:color w:val="000000"/>
          <w:sz w:val="24"/>
          <w:szCs w:val="24"/>
          <w:highlight w:val="none"/>
          <w:u w:val="single"/>
        </w:rPr>
        <w:t>十</w:t>
      </w:r>
      <w:r>
        <w:rPr>
          <w:rFonts w:hint="eastAsia" w:asciiTheme="minorEastAsia" w:hAnsiTheme="minorEastAsia" w:cstheme="minorEastAsia"/>
          <w:i w:val="0"/>
          <w:iCs/>
          <w:color w:val="000000"/>
          <w:sz w:val="24"/>
          <w:szCs w:val="24"/>
          <w:highlight w:val="none"/>
          <w:u w:val="single"/>
          <w:lang w:val="en-US" w:eastAsia="zh-CN"/>
        </w:rPr>
        <w:t>五</w:t>
      </w:r>
      <w:r>
        <w:rPr>
          <w:rFonts w:hint="eastAsia" w:asciiTheme="minorEastAsia" w:hAnsiTheme="minorEastAsia" w:eastAsiaTheme="minorEastAsia" w:cstheme="minorEastAsia"/>
          <w:i w:val="0"/>
          <w:iCs/>
          <w:color w:val="000000"/>
          <w:sz w:val="24"/>
          <w:szCs w:val="24"/>
          <w:highlight w:val="none"/>
          <w:u w:val="single"/>
        </w:rPr>
        <w:t>、</w:t>
      </w:r>
      <w:r>
        <w:rPr>
          <w:rFonts w:hint="eastAsia" w:ascii="宋体" w:hAnsi="宋体" w:cs="宋体"/>
          <w:color w:val="000000" w:themeColor="text1"/>
          <w:sz w:val="24"/>
          <w:u w:val="single"/>
          <w14:textFill>
            <w14:solidFill>
              <w14:schemeClr w14:val="tx1"/>
            </w14:solidFill>
          </w14:textFill>
        </w:rPr>
        <w:t>实施方案</w:t>
      </w:r>
    </w:p>
    <w:p w14:paraId="26065437">
      <w:pPr>
        <w:keepNext w:val="0"/>
        <w:keepLines w:val="0"/>
        <w:pageBreakBefore w:val="0"/>
        <w:widowControl/>
        <w:kinsoku/>
        <w:wordWrap/>
        <w:overflowPunct/>
        <w:topLinePunct w:val="0"/>
        <w:autoSpaceDE/>
        <w:autoSpaceDN/>
        <w:bidi w:val="0"/>
        <w:adjustRightInd/>
        <w:snapToGrid/>
        <w:spacing w:before="50" w:after="50" w:line="500" w:lineRule="exact"/>
        <w:ind w:firstLine="480" w:firstLineChars="200"/>
        <w:textAlignment w:val="auto"/>
        <w:rPr>
          <w:rFonts w:hint="eastAsia" w:asciiTheme="minorEastAsia" w:hAnsiTheme="minorEastAsia" w:eastAsiaTheme="minorEastAsia" w:cstheme="minorEastAsia"/>
          <w:i w:val="0"/>
          <w:iCs/>
          <w:color w:val="auto"/>
          <w:kern w:val="0"/>
          <w:sz w:val="24"/>
          <w:szCs w:val="24"/>
          <w:highlight w:val="none"/>
          <w:u w:val="single"/>
        </w:rPr>
      </w:pPr>
      <w:r>
        <w:rPr>
          <w:rFonts w:hint="eastAsia" w:asciiTheme="minorEastAsia" w:hAnsiTheme="minorEastAsia" w:eastAsiaTheme="minorEastAsia" w:cstheme="minorEastAsia"/>
          <w:i w:val="0"/>
          <w:iCs/>
          <w:color w:val="auto"/>
          <w:kern w:val="0"/>
          <w:sz w:val="24"/>
          <w:szCs w:val="24"/>
          <w:highlight w:val="none"/>
          <w:u w:val="single"/>
        </w:rPr>
        <w:t>十</w:t>
      </w:r>
      <w:r>
        <w:rPr>
          <w:rFonts w:hint="eastAsia" w:asciiTheme="minorEastAsia" w:hAnsiTheme="minorEastAsia" w:cstheme="minorEastAsia"/>
          <w:i w:val="0"/>
          <w:iCs/>
          <w:color w:val="auto"/>
          <w:kern w:val="0"/>
          <w:sz w:val="24"/>
          <w:szCs w:val="24"/>
          <w:highlight w:val="none"/>
          <w:u w:val="single"/>
          <w:lang w:val="en-US" w:eastAsia="zh-CN"/>
        </w:rPr>
        <w:t>六</w:t>
      </w:r>
      <w:r>
        <w:rPr>
          <w:rFonts w:hint="eastAsia" w:asciiTheme="minorEastAsia" w:hAnsiTheme="minorEastAsia" w:eastAsiaTheme="minorEastAsia" w:cstheme="minorEastAsia"/>
          <w:i w:val="0"/>
          <w:iCs/>
          <w:color w:val="auto"/>
          <w:kern w:val="0"/>
          <w:sz w:val="24"/>
          <w:szCs w:val="24"/>
          <w:highlight w:val="none"/>
          <w:u w:val="single"/>
        </w:rPr>
        <w:t>、</w:t>
      </w:r>
      <w:r>
        <w:rPr>
          <w:rFonts w:hint="eastAsia" w:ascii="宋体" w:hAnsi="宋体" w:cs="宋体"/>
          <w:color w:val="000000" w:themeColor="text1"/>
          <w:sz w:val="24"/>
          <w:u w:val="single"/>
          <w14:textFill>
            <w14:solidFill>
              <w14:schemeClr w14:val="tx1"/>
            </w14:solidFill>
          </w14:textFill>
        </w:rPr>
        <w:t>盐城市政府采购事前信用承诺书</w:t>
      </w:r>
    </w:p>
    <w:p w14:paraId="660B8D16">
      <w:pPr>
        <w:pStyle w:val="15"/>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i w:val="0"/>
          <w:iCs/>
          <w:color w:val="auto"/>
          <w:sz w:val="24"/>
          <w:szCs w:val="24"/>
          <w:highlight w:val="none"/>
          <w:u w:val="single"/>
        </w:rPr>
      </w:pPr>
      <w:r>
        <w:rPr>
          <w:rFonts w:hint="eastAsia" w:asciiTheme="minorEastAsia" w:hAnsiTheme="minorEastAsia" w:eastAsiaTheme="minorEastAsia" w:cstheme="minorEastAsia"/>
          <w:i w:val="0"/>
          <w:iCs/>
          <w:color w:val="auto"/>
          <w:sz w:val="24"/>
          <w:szCs w:val="24"/>
          <w:highlight w:val="none"/>
          <w:u w:val="single"/>
        </w:rPr>
        <w:t>十</w:t>
      </w:r>
      <w:r>
        <w:rPr>
          <w:rFonts w:hint="eastAsia" w:asciiTheme="minorEastAsia" w:hAnsiTheme="minorEastAsia" w:cstheme="minorEastAsia"/>
          <w:i w:val="0"/>
          <w:iCs/>
          <w:color w:val="auto"/>
          <w:sz w:val="24"/>
          <w:szCs w:val="24"/>
          <w:highlight w:val="none"/>
          <w:u w:val="single"/>
          <w:lang w:val="en-US" w:eastAsia="zh-CN"/>
        </w:rPr>
        <w:t>七</w:t>
      </w:r>
      <w:r>
        <w:rPr>
          <w:rFonts w:hint="eastAsia" w:asciiTheme="minorEastAsia" w:hAnsiTheme="minorEastAsia" w:eastAsiaTheme="minorEastAsia" w:cstheme="minorEastAsia"/>
          <w:i w:val="0"/>
          <w:iCs/>
          <w:color w:val="auto"/>
          <w:sz w:val="24"/>
          <w:szCs w:val="24"/>
          <w:highlight w:val="none"/>
          <w:u w:val="single"/>
        </w:rPr>
        <w:t>、</w:t>
      </w:r>
      <w:r>
        <w:rPr>
          <w:rFonts w:hint="eastAsia" w:ascii="宋体" w:hAnsi="宋体" w:cs="宋体"/>
          <w:color w:val="000000" w:themeColor="text1"/>
          <w:sz w:val="24"/>
          <w:u w:val="single"/>
          <w14:textFill>
            <w14:solidFill>
              <w14:schemeClr w14:val="tx1"/>
            </w14:solidFill>
          </w14:textFill>
        </w:rPr>
        <w:t>供应商认为需要提供的其他证明材料</w:t>
      </w:r>
    </w:p>
    <w:p w14:paraId="4DDD421A">
      <w:pPr>
        <w:pStyle w:val="15"/>
        <w:spacing w:beforeAutospacing="0" w:afterAutospacing="0" w:line="0" w:lineRule="atLeast"/>
        <w:ind w:firstLine="480"/>
        <w:jc w:val="both"/>
        <w:rPr>
          <w:color w:val="auto"/>
          <w:highlight w:val="none"/>
        </w:rPr>
      </w:pPr>
    </w:p>
    <w:p w14:paraId="6A7AF5C4">
      <w:pPr>
        <w:pStyle w:val="15"/>
        <w:spacing w:beforeAutospacing="0" w:afterAutospacing="0"/>
        <w:jc w:val="both"/>
        <w:rPr>
          <w:rFonts w:hint="eastAsia" w:ascii="黑体" w:hAnsi="宋体" w:eastAsia="黑体" w:cs="黑体"/>
          <w:i w:val="0"/>
          <w:iCs/>
          <w:color w:val="auto"/>
          <w:sz w:val="32"/>
          <w:szCs w:val="32"/>
          <w:highlight w:val="none"/>
          <w:u w:val="single"/>
        </w:rPr>
      </w:pPr>
    </w:p>
    <w:p w14:paraId="0D3CE8BC">
      <w:pPr>
        <w:pStyle w:val="15"/>
        <w:spacing w:beforeAutospacing="0" w:afterAutospacing="0"/>
        <w:jc w:val="both"/>
        <w:rPr>
          <w:rFonts w:hint="eastAsia" w:ascii="黑体" w:hAnsi="宋体" w:eastAsia="黑体" w:cs="黑体"/>
          <w:i w:val="0"/>
          <w:iCs/>
          <w:color w:val="auto"/>
          <w:sz w:val="32"/>
          <w:szCs w:val="32"/>
          <w:highlight w:val="none"/>
          <w:u w:val="single"/>
        </w:rPr>
      </w:pPr>
    </w:p>
    <w:p w14:paraId="34DFD3BF">
      <w:pPr>
        <w:pStyle w:val="15"/>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rPr>
        <w:t>一、法人或者其他组织的营业执照等证明文件</w:t>
      </w:r>
      <w:r>
        <w:rPr>
          <w:rFonts w:hint="eastAsia" w:ascii="黑体" w:hAnsi="宋体" w:eastAsia="黑体" w:cs="黑体"/>
          <w:i w:val="0"/>
          <w:iCs/>
          <w:color w:val="auto"/>
          <w:sz w:val="32"/>
          <w:szCs w:val="32"/>
          <w:highlight w:val="none"/>
          <w:u w:val="single"/>
          <w:lang w:val="en-US" w:eastAsia="zh-CN"/>
        </w:rPr>
        <w:t>或</w:t>
      </w:r>
      <w:r>
        <w:rPr>
          <w:rFonts w:hint="eastAsia" w:ascii="黑体" w:hAnsi="宋体" w:eastAsia="黑体" w:cs="黑体"/>
          <w:i w:val="0"/>
          <w:iCs/>
          <w:color w:val="auto"/>
          <w:sz w:val="32"/>
          <w:szCs w:val="32"/>
          <w:highlight w:val="none"/>
          <w:u w:val="single"/>
        </w:rPr>
        <w:t>自然人的身份证明</w:t>
      </w:r>
    </w:p>
    <w:p w14:paraId="59240982">
      <w:pPr>
        <w:pStyle w:val="15"/>
        <w:spacing w:beforeAutospacing="0" w:afterAutospacing="0" w:line="0" w:lineRule="atLeast"/>
        <w:ind w:firstLine="480"/>
        <w:jc w:val="both"/>
        <w:rPr>
          <w:i w:val="0"/>
          <w:iCs/>
          <w:color w:val="auto"/>
          <w:highlight w:val="none"/>
        </w:rPr>
      </w:pPr>
      <w:r>
        <w:rPr>
          <w:i w:val="0"/>
          <w:iCs/>
          <w:color w:val="auto"/>
          <w:highlight w:val="none"/>
        </w:rPr>
        <w:t> </w:t>
      </w:r>
    </w:p>
    <w:p w14:paraId="74E2D69E">
      <w:pPr>
        <w:pStyle w:val="15"/>
        <w:spacing w:beforeAutospacing="0" w:afterAutospacing="0"/>
        <w:jc w:val="both"/>
        <w:rPr>
          <w:rFonts w:hint="eastAsia" w:eastAsia="黑体"/>
          <w:i w:val="0"/>
          <w:iCs/>
          <w:color w:val="auto"/>
          <w:highlight w:val="none"/>
          <w:lang w:val="en-US" w:eastAsia="zh-CN"/>
        </w:rPr>
      </w:pPr>
      <w:r>
        <w:rPr>
          <w:rFonts w:hint="eastAsia" w:ascii="黑体" w:hAnsi="宋体" w:eastAsia="黑体" w:cs="黑体"/>
          <w:i w:val="0"/>
          <w:iCs/>
          <w:color w:val="auto"/>
          <w:sz w:val="32"/>
          <w:szCs w:val="32"/>
          <w:highlight w:val="none"/>
          <w:u w:val="single"/>
        </w:rPr>
        <w:t>二、上一年度的财务状况报</w:t>
      </w:r>
      <w:r>
        <w:rPr>
          <w:rFonts w:hint="eastAsia" w:ascii="黑体" w:hAnsi="宋体" w:eastAsia="黑体" w:cs="黑体"/>
          <w:i w:val="0"/>
          <w:iCs/>
          <w:color w:val="auto"/>
          <w:sz w:val="32"/>
          <w:szCs w:val="32"/>
          <w:highlight w:val="none"/>
          <w:u w:val="single"/>
          <w:lang w:val="en-US" w:eastAsia="zh-CN"/>
        </w:rPr>
        <w:t>告</w:t>
      </w:r>
    </w:p>
    <w:p w14:paraId="0C60B884">
      <w:pPr>
        <w:tabs>
          <w:tab w:val="left" w:pos="1331"/>
        </w:tabs>
        <w:bidi w:val="0"/>
        <w:ind w:firstLine="480" w:firstLineChars="200"/>
        <w:jc w:val="left"/>
        <w:rPr>
          <w:rFonts w:hint="eastAsia" w:ascii="宋体" w:hAnsi="宋体" w:eastAsia="宋体" w:cs="宋体"/>
          <w:i w:val="0"/>
          <w:iCs/>
          <w:color w:val="000000"/>
          <w:kern w:val="0"/>
          <w:sz w:val="24"/>
          <w:szCs w:val="24"/>
          <w:highlight w:val="none"/>
          <w:u w:val="none"/>
          <w:lang w:val="en-US" w:eastAsia="zh-CN" w:bidi="ar-SA"/>
        </w:rPr>
      </w:pPr>
      <w:r>
        <w:rPr>
          <w:rFonts w:hint="eastAsia" w:ascii="宋体" w:hAnsi="宋体" w:eastAsia="宋体" w:cs="宋体"/>
          <w:i w:val="0"/>
          <w:iCs/>
          <w:color w:val="000000"/>
          <w:kern w:val="0"/>
          <w:sz w:val="24"/>
          <w:szCs w:val="24"/>
          <w:highlight w:val="none"/>
          <w:u w:val="none"/>
          <w:lang w:val="en-US" w:eastAsia="zh-CN" w:bidi="ar-SA"/>
        </w:rPr>
        <w:t>（至少提供资产负债表、利润表、现金流量表，</w:t>
      </w:r>
      <w:r>
        <w:rPr>
          <w:rFonts w:hint="eastAsia" w:ascii="宋体" w:hAnsi="宋体" w:cs="宋体"/>
          <w:bCs/>
          <w:color w:val="000000" w:themeColor="text1"/>
          <w:sz w:val="24"/>
          <w14:textFill>
            <w14:solidFill>
              <w14:schemeClr w14:val="tx1"/>
            </w14:solidFill>
          </w14:textFill>
        </w:rPr>
        <w:t>供应商</w:t>
      </w:r>
      <w:r>
        <w:rPr>
          <w:rFonts w:hint="eastAsia" w:ascii="宋体" w:hAnsi="宋体" w:eastAsia="宋体" w:cs="宋体"/>
          <w:i w:val="0"/>
          <w:iCs/>
          <w:color w:val="000000"/>
          <w:kern w:val="0"/>
          <w:sz w:val="24"/>
          <w:szCs w:val="24"/>
          <w:highlight w:val="none"/>
          <w:u w:val="none"/>
          <w:lang w:val="en-US" w:eastAsia="zh-CN" w:bidi="ar-SA"/>
        </w:rPr>
        <w:t>成立不满一年无需提供）</w:t>
      </w:r>
    </w:p>
    <w:p w14:paraId="1EAAA377">
      <w:pPr>
        <w:pStyle w:val="15"/>
        <w:spacing w:beforeAutospacing="0" w:afterAutospacing="0" w:line="0" w:lineRule="atLeast"/>
        <w:ind w:firstLine="480"/>
        <w:jc w:val="both"/>
        <w:rPr>
          <w:rFonts w:hint="eastAsia" w:eastAsia="宋体"/>
          <w:i w:val="0"/>
          <w:iCs/>
          <w:color w:val="auto"/>
          <w:highlight w:val="none"/>
          <w:lang w:eastAsia="zh-CN"/>
        </w:rPr>
      </w:pPr>
    </w:p>
    <w:p w14:paraId="5C7918CD">
      <w:pPr>
        <w:pStyle w:val="15"/>
        <w:spacing w:beforeAutospacing="0" w:afterAutospacing="0"/>
        <w:jc w:val="both"/>
        <w:rPr>
          <w:i w:val="0"/>
          <w:iCs/>
          <w:color w:val="auto"/>
          <w:highlight w:val="none"/>
        </w:rPr>
      </w:pPr>
      <w:r>
        <w:rPr>
          <w:i w:val="0"/>
          <w:iCs/>
          <w:color w:val="auto"/>
          <w:highlight w:val="none"/>
        </w:rPr>
        <w:t> </w:t>
      </w:r>
    </w:p>
    <w:p w14:paraId="510EC5F4">
      <w:pPr>
        <w:pStyle w:val="15"/>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lang w:val="en-US" w:eastAsia="zh-CN"/>
        </w:rPr>
        <w:t>三</w:t>
      </w:r>
      <w:r>
        <w:rPr>
          <w:rFonts w:hint="eastAsia" w:ascii="黑体" w:hAnsi="宋体" w:eastAsia="黑体" w:cs="黑体"/>
          <w:i w:val="0"/>
          <w:iCs/>
          <w:color w:val="auto"/>
          <w:sz w:val="32"/>
          <w:szCs w:val="32"/>
          <w:highlight w:val="none"/>
          <w:u w:val="single"/>
        </w:rPr>
        <w:t>、具备履行合同所必需的设备和专业技术能力的书面声明</w:t>
      </w:r>
    </w:p>
    <w:p w14:paraId="428E7D45">
      <w:pPr>
        <w:pStyle w:val="15"/>
        <w:spacing w:beforeAutospacing="0" w:afterAutospacing="0" w:line="0" w:lineRule="atLeast"/>
        <w:ind w:firstLine="492"/>
        <w:jc w:val="both"/>
        <w:rPr>
          <w:i w:val="0"/>
          <w:iCs/>
          <w:color w:val="auto"/>
          <w:highlight w:val="none"/>
        </w:rPr>
      </w:pPr>
      <w:r>
        <w:rPr>
          <w:rFonts w:hint="eastAsia" w:ascii="宋体" w:hAnsi="宋体" w:eastAsia="宋体" w:cs="宋体"/>
          <w:i w:val="0"/>
          <w:iCs/>
          <w:color w:val="auto"/>
          <w:highlight w:val="none"/>
        </w:rPr>
        <w:t>我单位郑重声明：我单位具备履行本项采购合同所必需的设备和专业技术能力，为履行本项采购合同我公司具备如下主要设备和主要专业技术能力：</w:t>
      </w:r>
    </w:p>
    <w:p w14:paraId="747A054B">
      <w:pPr>
        <w:pStyle w:val="15"/>
        <w:spacing w:beforeAutospacing="0" w:afterAutospacing="0" w:line="0" w:lineRule="atLeast"/>
        <w:ind w:firstLine="492"/>
        <w:jc w:val="both"/>
        <w:rPr>
          <w:i w:val="0"/>
          <w:iCs/>
          <w:color w:val="auto"/>
          <w:highlight w:val="none"/>
        </w:rPr>
      </w:pPr>
      <w:r>
        <w:rPr>
          <w:rFonts w:hint="eastAsia" w:ascii="宋体" w:hAnsi="宋体" w:eastAsia="宋体" w:cs="宋体"/>
          <w:i w:val="0"/>
          <w:iCs/>
          <w:color w:val="auto"/>
          <w:highlight w:val="none"/>
        </w:rPr>
        <w:t>主要设备有：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w:t>
      </w:r>
    </w:p>
    <w:p w14:paraId="7F085CE0">
      <w:pPr>
        <w:pStyle w:val="15"/>
        <w:spacing w:beforeAutospacing="0" w:afterAutospacing="0"/>
        <w:jc w:val="both"/>
        <w:rPr>
          <w:rFonts w:hint="eastAsia" w:ascii="宋体" w:hAnsi="宋体" w:eastAsia="宋体" w:cs="宋体"/>
          <w:i w:val="0"/>
          <w:iCs/>
          <w:color w:val="auto"/>
          <w:highlight w:val="none"/>
        </w:rPr>
      </w:pPr>
      <w:r>
        <w:rPr>
          <w:rFonts w:hint="eastAsia" w:ascii="宋体" w:hAnsi="宋体" w:eastAsia="宋体" w:cs="宋体"/>
          <w:i w:val="0"/>
          <w:iCs/>
          <w:color w:val="auto"/>
          <w:highlight w:val="none"/>
        </w:rPr>
        <w:t>主要专业技术能力有：</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w:t>
      </w:r>
    </w:p>
    <w:p w14:paraId="686B3EC2">
      <w:pPr>
        <w:pStyle w:val="15"/>
        <w:spacing w:beforeAutospacing="0" w:afterAutospacing="0"/>
        <w:jc w:val="both"/>
        <w:rPr>
          <w:rFonts w:hint="eastAsia" w:ascii="黑体" w:hAnsi="宋体" w:eastAsia="黑体" w:cs="黑体"/>
          <w:i w:val="0"/>
          <w:iCs/>
          <w:color w:val="auto"/>
          <w:sz w:val="32"/>
          <w:szCs w:val="32"/>
          <w:highlight w:val="none"/>
          <w:u w:val="single"/>
          <w:lang w:val="en-US" w:eastAsia="zh-CN"/>
        </w:rPr>
      </w:pPr>
    </w:p>
    <w:p w14:paraId="60D6FBC8">
      <w:pPr>
        <w:pStyle w:val="15"/>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lang w:val="en-US" w:eastAsia="zh-CN"/>
        </w:rPr>
        <w:t>四</w:t>
      </w:r>
      <w:r>
        <w:rPr>
          <w:rFonts w:hint="eastAsia" w:ascii="黑体" w:hAnsi="宋体" w:eastAsia="黑体" w:cs="黑体"/>
          <w:i w:val="0"/>
          <w:iCs/>
          <w:color w:val="auto"/>
          <w:sz w:val="32"/>
          <w:szCs w:val="32"/>
          <w:highlight w:val="none"/>
          <w:u w:val="single"/>
        </w:rPr>
        <w:t>、依法缴纳税收和社会保障资金的相关材料</w:t>
      </w:r>
    </w:p>
    <w:p w14:paraId="641864C6">
      <w:pPr>
        <w:pStyle w:val="15"/>
        <w:spacing w:beforeAutospacing="0" w:afterAutospacing="0"/>
        <w:ind w:firstLine="480"/>
        <w:jc w:val="both"/>
        <w:rPr>
          <w:i w:val="0"/>
          <w:iCs/>
          <w:color w:val="auto"/>
          <w:highlight w:val="none"/>
        </w:rPr>
      </w:pPr>
      <w:r>
        <w:rPr>
          <w:rFonts w:hint="eastAsia" w:ascii="宋体" w:hAnsi="宋体" w:eastAsia="宋体" w:cs="宋体"/>
          <w:i w:val="0"/>
          <w:iCs/>
          <w:color w:val="auto"/>
          <w:highlight w:val="none"/>
        </w:rPr>
        <w:t>提供提交响应文件截止时间前一年内至少一个月依法缴纳税收及缴纳社会保障资金的证明材料。供应商依法享受缓缴、免缴税收、社会保障资金的提供证明材料。</w:t>
      </w:r>
    </w:p>
    <w:p w14:paraId="32AE7CD6">
      <w:pPr>
        <w:pStyle w:val="15"/>
        <w:spacing w:beforeAutospacing="0" w:afterAutospacing="0" w:line="0" w:lineRule="atLeast"/>
        <w:jc w:val="both"/>
        <w:rPr>
          <w:i w:val="0"/>
          <w:iCs/>
          <w:color w:val="auto"/>
          <w:highlight w:val="none"/>
        </w:rPr>
      </w:pPr>
      <w:r>
        <w:rPr>
          <w:rFonts w:hint="eastAsia" w:ascii="宋体" w:hAnsi="宋体" w:eastAsia="宋体" w:cs="宋体"/>
          <w:i w:val="0"/>
          <w:iCs/>
          <w:color w:val="auto"/>
          <w:highlight w:val="none"/>
        </w:rPr>
        <w:t xml:space="preserve">                                   </w:t>
      </w:r>
    </w:p>
    <w:p w14:paraId="19B3CD8B">
      <w:pPr>
        <w:pStyle w:val="15"/>
        <w:spacing w:beforeAutospacing="0" w:afterAutospacing="0"/>
        <w:jc w:val="both"/>
        <w:rPr>
          <w:i w:val="0"/>
          <w:iCs/>
          <w:color w:val="auto"/>
          <w:highlight w:val="none"/>
        </w:rPr>
      </w:pPr>
      <w:r>
        <w:rPr>
          <w:i w:val="0"/>
          <w:iCs/>
          <w:color w:val="auto"/>
          <w:highlight w:val="none"/>
        </w:rPr>
        <w:t> </w:t>
      </w:r>
    </w:p>
    <w:p w14:paraId="209B1D0A">
      <w:pPr>
        <w:pStyle w:val="15"/>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rPr>
        <w:t>五、参加政府采购活动前 3 年内在经营活动中没有重大违法记录的书面声明</w:t>
      </w:r>
    </w:p>
    <w:p w14:paraId="75D2D4F6">
      <w:pPr>
        <w:pStyle w:val="15"/>
        <w:spacing w:beforeAutospacing="0" w:afterAutospacing="0" w:line="0" w:lineRule="atLeast"/>
        <w:jc w:val="center"/>
        <w:rPr>
          <w:i w:val="0"/>
          <w:iCs/>
          <w:color w:val="auto"/>
          <w:highlight w:val="none"/>
        </w:rPr>
      </w:pPr>
      <w:r>
        <w:rPr>
          <w:rFonts w:hint="eastAsia" w:ascii="宋体" w:hAnsi="宋体" w:eastAsia="宋体" w:cs="宋体"/>
          <w:b/>
          <w:i w:val="0"/>
          <w:iCs/>
          <w:color w:val="auto"/>
          <w:sz w:val="44"/>
          <w:szCs w:val="44"/>
          <w:highlight w:val="none"/>
        </w:rPr>
        <w:t>声  明</w:t>
      </w:r>
    </w:p>
    <w:p w14:paraId="594187FD">
      <w:pPr>
        <w:pStyle w:val="15"/>
        <w:spacing w:beforeAutospacing="0" w:afterAutospacing="0" w:line="0" w:lineRule="atLeast"/>
        <w:jc w:val="both"/>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i w:val="0"/>
          <w:i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57EC01F9">
      <w:pPr>
        <w:pStyle w:val="15"/>
        <w:spacing w:beforeAutospacing="0" w:afterAutospacing="0"/>
        <w:jc w:val="both"/>
        <w:rPr>
          <w:i w:val="0"/>
          <w:iCs/>
          <w:color w:val="auto"/>
          <w:highlight w:val="none"/>
        </w:rPr>
      </w:pPr>
      <w:r>
        <w:rPr>
          <w:i w:val="0"/>
          <w:iCs/>
          <w:color w:val="auto"/>
          <w:highlight w:val="none"/>
        </w:rPr>
        <w:t> </w:t>
      </w:r>
    </w:p>
    <w:p w14:paraId="6915DF1F">
      <w:pPr>
        <w:pStyle w:val="15"/>
        <w:spacing w:beforeAutospacing="0" w:afterAutospacing="0"/>
        <w:jc w:val="both"/>
        <w:rPr>
          <w:i w:val="0"/>
          <w:iCs/>
          <w:color w:val="auto"/>
          <w:highlight w:val="none"/>
        </w:rPr>
      </w:pPr>
      <w:r>
        <w:rPr>
          <w:rFonts w:hint="eastAsia" w:ascii="黑体" w:hAnsi="宋体" w:eastAsia="黑体" w:cs="黑体"/>
          <w:i w:val="0"/>
          <w:iCs/>
          <w:color w:val="auto"/>
          <w:sz w:val="32"/>
          <w:szCs w:val="32"/>
          <w:highlight w:val="none"/>
          <w:u w:val="single"/>
        </w:rPr>
        <w:t>六、特定资格要求的证明文件</w:t>
      </w:r>
    </w:p>
    <w:p w14:paraId="341D5A73">
      <w:pPr>
        <w:pStyle w:val="15"/>
        <w:spacing w:beforeAutospacing="0" w:afterAutospacing="0" w:line="0" w:lineRule="atLeast"/>
        <w:jc w:val="both"/>
        <w:rPr>
          <w:i w:val="0"/>
          <w:iCs/>
          <w:color w:val="auto"/>
          <w:highlight w:val="none"/>
        </w:rPr>
      </w:pPr>
      <w:r>
        <w:rPr>
          <w:rFonts w:hint="eastAsia" w:ascii="宋体" w:hAnsi="宋体" w:eastAsia="宋体" w:cs="宋体"/>
          <w:i w:val="0"/>
          <w:iCs/>
          <w:color w:val="auto"/>
          <w:highlight w:val="none"/>
        </w:rPr>
        <w:t>   如果本项目申请人的特定资格要求中要求提供的，必须提供。</w:t>
      </w:r>
    </w:p>
    <w:p w14:paraId="0713F367">
      <w:pPr>
        <w:pStyle w:val="15"/>
        <w:spacing w:beforeAutospacing="0" w:afterAutospacing="0"/>
        <w:jc w:val="center"/>
        <w:rPr>
          <w:rFonts w:ascii="黑体" w:hAnsi="宋体" w:eastAsia="黑体" w:cs="黑体"/>
          <w:i/>
          <w:color w:val="auto"/>
          <w:sz w:val="32"/>
          <w:szCs w:val="32"/>
          <w:highlight w:val="none"/>
          <w:u w:val="single"/>
        </w:rPr>
      </w:pPr>
      <w:bookmarkStart w:id="186" w:name="_Toc120614284"/>
    </w:p>
    <w:p w14:paraId="3C90CF51">
      <w:pPr>
        <w:pStyle w:val="15"/>
        <w:spacing w:beforeAutospacing="0" w:afterAutospacing="0"/>
        <w:jc w:val="center"/>
        <w:rPr>
          <w:rFonts w:ascii="黑体" w:hAnsi="宋体" w:eastAsia="黑体" w:cs="黑体"/>
          <w:i/>
          <w:color w:val="auto"/>
          <w:sz w:val="32"/>
          <w:szCs w:val="32"/>
          <w:highlight w:val="none"/>
          <w:u w:val="single"/>
        </w:rPr>
      </w:pPr>
    </w:p>
    <w:p w14:paraId="50AD0CCD">
      <w:pPr>
        <w:pStyle w:val="15"/>
        <w:spacing w:beforeAutospacing="0" w:afterAutospacing="0"/>
        <w:jc w:val="center"/>
        <w:rPr>
          <w:rFonts w:ascii="黑体" w:hAnsi="宋体" w:eastAsia="黑体" w:cs="黑体"/>
          <w:i/>
          <w:color w:val="auto"/>
          <w:sz w:val="32"/>
          <w:szCs w:val="32"/>
          <w:highlight w:val="none"/>
          <w:u w:val="single"/>
        </w:rPr>
      </w:pPr>
    </w:p>
    <w:p w14:paraId="75CAB6FA">
      <w:pPr>
        <w:autoSpaceDE w:val="0"/>
        <w:autoSpaceDN w:val="0"/>
        <w:adjustRightInd w:val="0"/>
        <w:jc w:val="center"/>
        <w:rPr>
          <w:rFonts w:hint="eastAsia" w:ascii="宋体" w:hAnsi="宋体" w:eastAsia="宋体" w:cs="宋体"/>
          <w:b/>
          <w:bCs/>
          <w:kern w:val="0"/>
          <w:sz w:val="44"/>
          <w:szCs w:val="44"/>
        </w:rPr>
      </w:pPr>
    </w:p>
    <w:p w14:paraId="08E5E987">
      <w:pPr>
        <w:autoSpaceDE w:val="0"/>
        <w:autoSpaceDN w:val="0"/>
        <w:adjustRightInd w:val="0"/>
        <w:jc w:val="center"/>
        <w:rPr>
          <w:rFonts w:hint="eastAsia" w:ascii="宋体" w:hAnsi="宋体" w:eastAsia="宋体" w:cs="宋体"/>
          <w:b/>
          <w:bCs/>
          <w:kern w:val="0"/>
          <w:sz w:val="44"/>
          <w:szCs w:val="44"/>
        </w:rPr>
      </w:pPr>
    </w:p>
    <w:p w14:paraId="698C7066">
      <w:pPr>
        <w:autoSpaceDE w:val="0"/>
        <w:autoSpaceDN w:val="0"/>
        <w:adjustRightInd w:val="0"/>
        <w:jc w:val="center"/>
        <w:rPr>
          <w:rFonts w:hint="eastAsia" w:ascii="宋体" w:hAnsi="宋体" w:eastAsia="宋体" w:cs="宋体"/>
          <w:b/>
          <w:bCs/>
          <w:kern w:val="0"/>
          <w:sz w:val="44"/>
          <w:szCs w:val="44"/>
        </w:rPr>
      </w:pPr>
    </w:p>
    <w:p w14:paraId="3AD4227A">
      <w:pPr>
        <w:autoSpaceDE w:val="0"/>
        <w:autoSpaceDN w:val="0"/>
        <w:adjustRightInd w:val="0"/>
        <w:jc w:val="center"/>
        <w:rPr>
          <w:rFonts w:hint="eastAsia" w:ascii="宋体" w:hAnsi="宋体" w:eastAsia="宋体" w:cs="宋体"/>
          <w:b/>
          <w:bCs/>
          <w:kern w:val="0"/>
          <w:sz w:val="44"/>
          <w:szCs w:val="44"/>
        </w:rPr>
      </w:pPr>
    </w:p>
    <w:p w14:paraId="1EC6266B">
      <w:pPr>
        <w:autoSpaceDE w:val="0"/>
        <w:autoSpaceDN w:val="0"/>
        <w:adjustRightInd w:val="0"/>
        <w:jc w:val="center"/>
        <w:rPr>
          <w:rFonts w:ascii="SimSun,Bold" w:eastAsia="SimSun,Bold" w:cs="SimSun,Bold"/>
          <w:b/>
          <w:bCs/>
          <w:kern w:val="0"/>
          <w:sz w:val="44"/>
          <w:szCs w:val="44"/>
        </w:rPr>
      </w:pPr>
      <w:r>
        <w:rPr>
          <w:rFonts w:hint="eastAsia" w:ascii="宋体" w:hAnsi="宋体" w:eastAsia="宋体" w:cs="宋体"/>
          <w:b/>
          <w:bCs/>
          <w:kern w:val="0"/>
          <w:sz w:val="44"/>
          <w:szCs w:val="44"/>
          <w:lang w:val="en-US" w:eastAsia="zh-CN"/>
        </w:rPr>
        <w:t>项目负责人</w:t>
      </w:r>
      <w:r>
        <w:rPr>
          <w:rFonts w:hint="eastAsia" w:ascii="宋体" w:hAnsi="宋体" w:eastAsia="宋体" w:cs="宋体"/>
          <w:b/>
          <w:bCs/>
          <w:kern w:val="0"/>
          <w:sz w:val="44"/>
          <w:szCs w:val="44"/>
        </w:rPr>
        <w:t>无在岗项目承诺书</w:t>
      </w:r>
    </w:p>
    <w:p w14:paraId="0D42F467">
      <w:pPr>
        <w:autoSpaceDE w:val="0"/>
        <w:autoSpaceDN w:val="0"/>
        <w:adjustRightInd w:val="0"/>
        <w:jc w:val="left"/>
        <w:rPr>
          <w:rFonts w:ascii="宋体" w:eastAsia="宋体" w:cs="宋体"/>
          <w:kern w:val="0"/>
          <w:sz w:val="24"/>
          <w:szCs w:val="24"/>
        </w:rPr>
      </w:pPr>
    </w:p>
    <w:p w14:paraId="02C50766">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致：</w:t>
      </w:r>
      <w:r>
        <w:rPr>
          <w:rFonts w:hint="eastAsia" w:ascii="宋体" w:eastAsia="宋体" w:cs="宋体"/>
          <w:kern w:val="0"/>
          <w:sz w:val="24"/>
          <w:szCs w:val="24"/>
          <w:u w:val="single"/>
        </w:rPr>
        <w:t xml:space="preserve"> </w:t>
      </w:r>
      <w:r>
        <w:rPr>
          <w:rFonts w:ascii="宋体" w:eastAsia="宋体" w:cs="宋体"/>
          <w:kern w:val="0"/>
          <w:sz w:val="24"/>
          <w:szCs w:val="24"/>
          <w:u w:val="single"/>
        </w:rPr>
        <w:t xml:space="preserve">            </w:t>
      </w:r>
      <w:r>
        <w:rPr>
          <w:rFonts w:hint="eastAsia" w:ascii="宋体" w:eastAsia="宋体" w:cs="宋体"/>
          <w:kern w:val="0"/>
          <w:sz w:val="24"/>
          <w:szCs w:val="24"/>
        </w:rPr>
        <w:t>（</w:t>
      </w:r>
      <w:r>
        <w:rPr>
          <w:rFonts w:hint="eastAsia" w:ascii="宋体" w:eastAsia="宋体" w:cs="宋体"/>
          <w:kern w:val="0"/>
          <w:sz w:val="24"/>
          <w:szCs w:val="24"/>
          <w:lang w:val="en-US" w:eastAsia="zh-CN"/>
        </w:rPr>
        <w:t>采购</w:t>
      </w:r>
      <w:r>
        <w:rPr>
          <w:rFonts w:hint="eastAsia" w:ascii="宋体" w:eastAsia="宋体" w:cs="宋体"/>
          <w:kern w:val="0"/>
          <w:sz w:val="24"/>
          <w:szCs w:val="24"/>
        </w:rPr>
        <w:t>人）</w:t>
      </w:r>
    </w:p>
    <w:p w14:paraId="5D931604">
      <w:pPr>
        <w:autoSpaceDE w:val="0"/>
        <w:autoSpaceDN w:val="0"/>
        <w:adjustRightInd w:val="0"/>
        <w:spacing w:line="360" w:lineRule="auto"/>
        <w:ind w:firstLine="480" w:firstLineChars="200"/>
        <w:jc w:val="left"/>
        <w:rPr>
          <w:rFonts w:ascii="宋体" w:eastAsia="宋体" w:cs="宋体"/>
          <w:kern w:val="0"/>
          <w:sz w:val="24"/>
          <w:szCs w:val="24"/>
        </w:rPr>
      </w:pPr>
      <w:r>
        <w:rPr>
          <w:rFonts w:hint="eastAsia" w:ascii="宋体" w:eastAsia="宋体" w:cs="宋体"/>
          <w:kern w:val="0"/>
          <w:sz w:val="24"/>
          <w:szCs w:val="24"/>
        </w:rPr>
        <w:t>我单位自愿参加</w:t>
      </w:r>
      <w:r>
        <w:rPr>
          <w:rFonts w:ascii="宋体" w:eastAsia="宋体" w:cs="宋体"/>
          <w:kern w:val="0"/>
          <w:sz w:val="24"/>
          <w:szCs w:val="24"/>
        </w:rPr>
        <w:t xml:space="preserve"> </w:t>
      </w:r>
      <w:r>
        <w:rPr>
          <w:rFonts w:ascii="宋体" w:eastAsia="宋体" w:cs="宋体"/>
          <w:kern w:val="0"/>
          <w:sz w:val="24"/>
          <w:szCs w:val="24"/>
          <w:u w:val="single"/>
        </w:rPr>
        <w:t xml:space="preserve">            </w:t>
      </w:r>
      <w:r>
        <w:rPr>
          <w:rFonts w:hint="eastAsia" w:ascii="宋体" w:eastAsia="宋体" w:cs="宋体"/>
          <w:kern w:val="0"/>
          <w:sz w:val="24"/>
          <w:szCs w:val="24"/>
        </w:rPr>
        <w:t>（项目及标段名称）</w:t>
      </w:r>
      <w:r>
        <w:rPr>
          <w:rFonts w:ascii="宋体" w:eastAsia="宋体" w:cs="宋体"/>
          <w:kern w:val="0"/>
          <w:sz w:val="24"/>
          <w:szCs w:val="24"/>
        </w:rPr>
        <w:t xml:space="preserve"> </w:t>
      </w:r>
      <w:r>
        <w:rPr>
          <w:rFonts w:hint="eastAsia" w:ascii="宋体" w:eastAsia="宋体" w:cs="宋体"/>
          <w:kern w:val="0"/>
          <w:sz w:val="24"/>
          <w:szCs w:val="24"/>
        </w:rPr>
        <w:t>项目的投标活动，并郑重承诺：（以下两种情况自行勾选，若未勾选视为无在岗项目）</w:t>
      </w:r>
    </w:p>
    <w:p w14:paraId="1DA77B29">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w:t>
      </w:r>
      <w:r>
        <w:rPr>
          <w:rFonts w:ascii="宋体" w:eastAsia="宋体" w:cs="宋体"/>
          <w:kern w:val="0"/>
          <w:sz w:val="24"/>
          <w:szCs w:val="24"/>
        </w:rPr>
        <w:t>1</w:t>
      </w:r>
      <w:r>
        <w:rPr>
          <w:rFonts w:hint="eastAsia" w:ascii="宋体" w:eastAsia="宋体" w:cs="宋体"/>
          <w:kern w:val="0"/>
          <w:sz w:val="24"/>
          <w:szCs w:val="24"/>
        </w:rPr>
        <w:t>、本项目拟投入的项目经理无在岗项目。</w:t>
      </w:r>
    </w:p>
    <w:p w14:paraId="1D392FDB">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w:t>
      </w:r>
      <w:r>
        <w:rPr>
          <w:rFonts w:ascii="宋体" w:eastAsia="宋体" w:cs="宋体"/>
          <w:kern w:val="0"/>
          <w:sz w:val="24"/>
          <w:szCs w:val="24"/>
        </w:rPr>
        <w:t>2</w:t>
      </w:r>
      <w:r>
        <w:rPr>
          <w:rFonts w:hint="eastAsia" w:ascii="宋体" w:eastAsia="宋体" w:cs="宋体"/>
          <w:kern w:val="0"/>
          <w:sz w:val="24"/>
          <w:szCs w:val="24"/>
        </w:rPr>
        <w:t>、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w:t>
      </w:r>
    </w:p>
    <w:p w14:paraId="3417E3AD">
      <w:pPr>
        <w:autoSpaceDE w:val="0"/>
        <w:autoSpaceDN w:val="0"/>
        <w:adjustRightInd w:val="0"/>
        <w:jc w:val="left"/>
        <w:rPr>
          <w:rFonts w:ascii="宋体" w:eastAsia="宋体" w:cs="宋体"/>
          <w:kern w:val="0"/>
          <w:sz w:val="24"/>
          <w:szCs w:val="24"/>
        </w:rPr>
      </w:pPr>
    </w:p>
    <w:p w14:paraId="6A3A7AB3">
      <w:pPr>
        <w:autoSpaceDE w:val="0"/>
        <w:autoSpaceDN w:val="0"/>
        <w:adjustRightInd w:val="0"/>
        <w:jc w:val="left"/>
        <w:rPr>
          <w:rFonts w:ascii="宋体" w:eastAsia="宋体" w:cs="宋体"/>
          <w:kern w:val="0"/>
          <w:sz w:val="24"/>
          <w:szCs w:val="24"/>
        </w:rPr>
      </w:pPr>
    </w:p>
    <w:p w14:paraId="60A0AF4B">
      <w:pPr>
        <w:pStyle w:val="15"/>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40" w:lineRule="exact"/>
        <w:ind w:right="1560" w:firstLine="624"/>
        <w:jc w:val="center"/>
        <w:textAlignment w:val="auto"/>
      </w:pP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供应商全称（加盖CA电子公章）： </w:t>
      </w:r>
      <w:r>
        <w:rPr>
          <w:rFonts w:hint="eastAsia"/>
        </w:rPr>
        <w:t>   </w:t>
      </w:r>
    </w:p>
    <w:p w14:paraId="7263ABB0">
      <w:pPr>
        <w:keepNext w:val="0"/>
        <w:keepLines w:val="0"/>
        <w:pageBreakBefore w:val="0"/>
        <w:widowControl w:val="0"/>
        <w:kinsoku/>
        <w:wordWrap/>
        <w:overflowPunct/>
        <w:topLinePunct w:val="0"/>
        <w:autoSpaceDE w:val="0"/>
        <w:autoSpaceDN w:val="0"/>
        <w:bidi w:val="0"/>
        <w:adjustRightInd w:val="0"/>
        <w:snapToGrid/>
        <w:spacing w:line="440" w:lineRule="exact"/>
        <w:ind w:firstLine="3840" w:firstLineChars="1600"/>
        <w:jc w:val="both"/>
        <w:textAlignment w:val="auto"/>
        <w:rPr>
          <w:rFonts w:hint="eastAsia" w:ascii="宋体" w:hAnsi="宋体" w:eastAsia="宋体" w:cs="宋体"/>
          <w:i w:val="0"/>
          <w:iCs/>
          <w:color w:val="auto"/>
          <w:highlight w:val="none"/>
        </w:rPr>
      </w:pPr>
      <w:r>
        <w:rPr>
          <w:rFonts w:hint="eastAsia" w:ascii="宋体" w:eastAsia="宋体" w:cs="宋体"/>
          <w:kern w:val="0"/>
          <w:sz w:val="24"/>
          <w:szCs w:val="24"/>
          <w:lang w:val="en-US" w:eastAsia="zh-CN"/>
        </w:rPr>
        <w:t>项目经理</w:t>
      </w:r>
      <w:r>
        <w:rPr>
          <w:rFonts w:hint="eastAsia" w:ascii="宋体" w:eastAsia="宋体" w:cs="宋体"/>
          <w:kern w:val="0"/>
          <w:sz w:val="24"/>
          <w:szCs w:val="24"/>
        </w:rPr>
        <w:t>（签</w:t>
      </w:r>
      <w:r>
        <w:rPr>
          <w:rFonts w:hint="eastAsia" w:ascii="宋体" w:eastAsia="宋体" w:cs="宋体"/>
          <w:kern w:val="0"/>
          <w:sz w:val="24"/>
          <w:szCs w:val="24"/>
          <w:lang w:val="en-US" w:eastAsia="zh-CN"/>
        </w:rPr>
        <w:t>字</w:t>
      </w:r>
      <w:r>
        <w:rPr>
          <w:rFonts w:ascii="Calibri" w:hAnsi="Calibri" w:eastAsia="SimSun,Bold" w:cs="Calibri"/>
          <w:kern w:val="0"/>
          <w:sz w:val="24"/>
          <w:szCs w:val="24"/>
        </w:rPr>
        <w:t>)</w:t>
      </w:r>
      <w:r>
        <w:rPr>
          <w:rFonts w:hint="eastAsia" w:ascii="宋体" w:eastAsia="宋体" w:cs="宋体"/>
          <w:kern w:val="0"/>
          <w:sz w:val="24"/>
          <w:szCs w:val="24"/>
        </w:rPr>
        <w:t>：</w:t>
      </w:r>
      <w:r>
        <w:rPr>
          <w:rFonts w:hint="eastAsia" w:ascii="宋体" w:hAnsi="宋体" w:eastAsia="宋体" w:cs="宋体"/>
          <w:i w:val="0"/>
          <w:iCs/>
          <w:color w:val="auto"/>
          <w:highlight w:val="none"/>
        </w:rPr>
        <w:t xml:space="preserve">  </w:t>
      </w:r>
    </w:p>
    <w:p w14:paraId="631D9E8B">
      <w:pPr>
        <w:keepNext w:val="0"/>
        <w:keepLines w:val="0"/>
        <w:pageBreakBefore w:val="0"/>
        <w:widowControl w:val="0"/>
        <w:kinsoku/>
        <w:wordWrap/>
        <w:overflowPunct/>
        <w:topLinePunct w:val="0"/>
        <w:autoSpaceDE w:val="0"/>
        <w:autoSpaceDN w:val="0"/>
        <w:bidi w:val="0"/>
        <w:adjustRightInd w:val="0"/>
        <w:snapToGrid/>
        <w:spacing w:line="440" w:lineRule="exact"/>
        <w:ind w:firstLine="3840" w:firstLineChars="1600"/>
        <w:jc w:val="both"/>
        <w:textAlignment w:val="auto"/>
        <w:rPr>
          <w:i w:val="0"/>
          <w:iCs/>
          <w:color w:val="auto"/>
          <w:highlight w:val="none"/>
        </w:rPr>
      </w:pPr>
      <w:r>
        <w:rPr>
          <w:rFonts w:hint="eastAsia" w:ascii="宋体" w:hAnsi="宋体" w:eastAsia="宋体" w:cs="宋体"/>
          <w:i w:val="0"/>
          <w:iCs/>
          <w:color w:val="auto"/>
          <w:kern w:val="0"/>
          <w:sz w:val="24"/>
          <w:szCs w:val="24"/>
          <w:highlight w:val="none"/>
          <w:lang w:val="en-US" w:eastAsia="zh-CN" w:bidi="ar-SA"/>
        </w:rPr>
        <w:t>日  期：</w:t>
      </w:r>
    </w:p>
    <w:p w14:paraId="5727576F">
      <w:pPr>
        <w:autoSpaceDE w:val="0"/>
        <w:autoSpaceDN w:val="0"/>
        <w:adjustRightInd w:val="0"/>
        <w:spacing w:line="360" w:lineRule="auto"/>
        <w:jc w:val="left"/>
        <w:rPr>
          <w:rFonts w:hint="eastAsia" w:ascii="宋体" w:eastAsia="宋体" w:cs="宋体"/>
          <w:kern w:val="0"/>
          <w:sz w:val="24"/>
          <w:szCs w:val="24"/>
        </w:rPr>
      </w:pPr>
    </w:p>
    <w:p w14:paraId="361CE26F">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注：在岗情况，按下列原则认定：</w:t>
      </w:r>
    </w:p>
    <w:p w14:paraId="5F6968B0">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1.在招标项目投标截止时间之前，投标人拟投入的主要人员已在其他项目中作为主要人员任职，包括在已发出中标通知书或者签定合约的其他项目中作为主要人员的，应当视为有在岗项目；</w:t>
      </w:r>
    </w:p>
    <w:p w14:paraId="358C66F5">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2.未在其他项目上作为主要人员任职，或虽在其他项目上作为主要人员任职、但在投标文件中提供了拟投入本项目中的主要人员在中标后可以从其他项目撤离的书面承诺，视为无在岗项目；</w:t>
      </w:r>
    </w:p>
    <w:p w14:paraId="7214792D">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3.投标人拟投入的主要人员在其他项目上作为主要人员任职，虽然项目尚未交工但符合下列情形之一、并在投标文件中提供一旦中标可以从其他项目上撤离的书面承诺，视为无在岗项目：</w:t>
      </w:r>
    </w:p>
    <w:p w14:paraId="252267CB">
      <w:pPr>
        <w:autoSpaceDE w:val="0"/>
        <w:autoSpaceDN w:val="0"/>
        <w:adjustRightInd w:val="0"/>
        <w:spacing w:line="360" w:lineRule="auto"/>
        <w:jc w:val="left"/>
        <w:rPr>
          <w:rFonts w:ascii="宋体" w:eastAsia="宋体" w:cs="宋体"/>
          <w:kern w:val="0"/>
          <w:sz w:val="24"/>
          <w:szCs w:val="24"/>
        </w:rPr>
      </w:pPr>
      <w:r>
        <w:rPr>
          <w:rFonts w:hint="eastAsia" w:ascii="宋体" w:eastAsia="宋体" w:cs="宋体"/>
          <w:kern w:val="0"/>
          <w:sz w:val="24"/>
          <w:szCs w:val="24"/>
        </w:rPr>
        <w:t>1）工程已经完工，经项目质量监督机构核验合格，主要人员基本完成职责，非投标人原因尚未进行交工验收的；</w:t>
      </w:r>
    </w:p>
    <w:p w14:paraId="03283551">
      <w:pPr>
        <w:numPr>
          <w:ilvl w:val="0"/>
          <w:numId w:val="0"/>
        </w:numPr>
        <w:wordWrap w:val="0"/>
        <w:adjustRightInd w:val="0"/>
        <w:spacing w:line="240" w:lineRule="auto"/>
        <w:jc w:val="both"/>
        <w:rPr>
          <w:rFonts w:hint="eastAsia"/>
          <w:sz w:val="24"/>
          <w:lang w:val="en-US" w:eastAsia="zh-CN"/>
        </w:rPr>
        <w:sectPr>
          <w:pgSz w:w="11906" w:h="16838"/>
          <w:pgMar w:top="1418" w:right="1418" w:bottom="1418" w:left="1418" w:header="851" w:footer="851" w:gutter="0"/>
          <w:pgBorders>
            <w:top w:val="none" w:sz="0" w:space="0"/>
            <w:left w:val="none" w:sz="0" w:space="0"/>
            <w:bottom w:val="none" w:sz="0" w:space="0"/>
            <w:right w:val="none" w:sz="0" w:space="0"/>
          </w:pgBorders>
          <w:pgNumType w:fmt="decimal"/>
          <w:cols w:space="425" w:num="1"/>
          <w:docGrid w:linePitch="312" w:charSpace="0"/>
        </w:sectPr>
      </w:pPr>
      <w:r>
        <w:rPr>
          <w:rFonts w:hint="eastAsia" w:ascii="宋体" w:eastAsia="宋体" w:cs="宋体"/>
          <w:kern w:val="0"/>
          <w:sz w:val="24"/>
          <w:szCs w:val="24"/>
        </w:rPr>
        <w:t>2）工程中标后半年内非中标人原因无法开工或停工半年以上无法复工等情况。</w:t>
      </w:r>
    </w:p>
    <w:p w14:paraId="40086493">
      <w:pPr>
        <w:pStyle w:val="15"/>
        <w:keepNext w:val="0"/>
        <w:keepLines w:val="0"/>
        <w:pageBreakBefore w:val="0"/>
        <w:widowControl w:val="0"/>
        <w:kinsoku/>
        <w:wordWrap/>
        <w:overflowPunct/>
        <w:topLinePunct w:val="0"/>
        <w:autoSpaceDE/>
        <w:autoSpaceDN/>
        <w:bidi w:val="0"/>
        <w:adjustRightInd/>
        <w:snapToGrid/>
        <w:spacing w:beforeAutospacing="0" w:afterAutospacing="0" w:line="700" w:lineRule="exact"/>
        <w:jc w:val="center"/>
        <w:textAlignment w:val="auto"/>
        <w:rPr>
          <w:i w:val="0"/>
          <w:iCs/>
          <w:color w:val="auto"/>
          <w:highlight w:val="none"/>
        </w:rPr>
      </w:pPr>
      <w:r>
        <w:rPr>
          <w:rFonts w:hint="eastAsia" w:ascii="黑体" w:hAnsi="宋体" w:eastAsia="黑体" w:cs="黑体"/>
          <w:i w:val="0"/>
          <w:iCs/>
          <w:color w:val="auto"/>
          <w:sz w:val="32"/>
          <w:szCs w:val="32"/>
          <w:highlight w:val="none"/>
          <w:u w:val="none"/>
        </w:rPr>
        <w:t>七、法人授权书</w:t>
      </w:r>
    </w:p>
    <w:p w14:paraId="52A92DE9">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ind w:firstLine="480"/>
        <w:jc w:val="both"/>
        <w:textAlignment w:val="auto"/>
        <w:rPr>
          <w:i w:val="0"/>
          <w:iCs/>
          <w:color w:val="auto"/>
          <w:highlight w:val="none"/>
        </w:rPr>
      </w:pPr>
      <w:r>
        <w:rPr>
          <w:rFonts w:ascii="Times New Roman" w:hAnsi="Times New Roman"/>
          <w:i w:val="0"/>
          <w:iCs/>
          <w:color w:val="auto"/>
          <w:highlight w:val="none"/>
        </w:rPr>
        <w:t>本授权书声明：____________（供应商名称）授权________________（被授权人的姓名）为我方就</w:t>
      </w:r>
      <w:r>
        <w:rPr>
          <w:rFonts w:ascii="Times New Roman" w:hAnsi="Times New Roman"/>
          <w:i w:val="0"/>
          <w:iCs/>
          <w:color w:val="auto"/>
          <w:highlight w:val="none"/>
          <w:u w:val="single"/>
        </w:rPr>
        <w:t>  </w:t>
      </w:r>
      <w:r>
        <w:rPr>
          <w:rFonts w:hint="eastAsia" w:ascii="Times New Roman" w:hAnsi="Times New Roman"/>
          <w:i w:val="0"/>
          <w:iCs/>
          <w:color w:val="auto"/>
          <w:highlight w:val="none"/>
          <w:u w:val="single"/>
          <w:lang w:eastAsia="zh-CN"/>
        </w:rPr>
        <w:t>盐东镇农村公路中次差路段大中修工程</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rPr>
        <w:t>采购活动的合法代理人，以本单位名义全权处理一切与该项目采购有关的事务。</w:t>
      </w:r>
    </w:p>
    <w:p w14:paraId="5055107D">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ind w:firstLine="480"/>
        <w:jc w:val="both"/>
        <w:textAlignment w:val="auto"/>
        <w:rPr>
          <w:i w:val="0"/>
          <w:iCs/>
          <w:color w:val="auto"/>
          <w:highlight w:val="none"/>
        </w:rPr>
      </w:pPr>
      <w:r>
        <w:rPr>
          <w:rFonts w:ascii="Times New Roman" w:hAnsi="Times New Roman"/>
          <w:i w:val="0"/>
          <w:iCs/>
          <w:color w:val="auto"/>
          <w:highlight w:val="none"/>
        </w:rPr>
        <w:t>本授权书于______年____月____日起生效，特此声明。</w:t>
      </w:r>
    </w:p>
    <w:p w14:paraId="39D02AE4">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jc w:val="both"/>
        <w:textAlignment w:val="auto"/>
        <w:rPr>
          <w:i w:val="0"/>
          <w:iCs/>
          <w:color w:val="auto"/>
          <w:highlight w:val="none"/>
        </w:rPr>
      </w:pPr>
      <w:r>
        <w:rPr>
          <w:rFonts w:ascii="Times New Roman" w:hAnsi="Times New Roman"/>
          <w:i w:val="0"/>
          <w:iCs/>
          <w:color w:val="auto"/>
          <w:highlight w:val="none"/>
        </w:rPr>
        <w:t>          被授权人身份证号码：</w:t>
      </w:r>
      <w:r>
        <w:rPr>
          <w:rFonts w:ascii="Times New Roman" w:hAnsi="Times New Roman"/>
          <w:i w:val="0"/>
          <w:iCs/>
          <w:color w:val="auto"/>
          <w:highlight w:val="none"/>
          <w:u w:val="single"/>
        </w:rPr>
        <w:t>                      </w:t>
      </w:r>
      <w:r>
        <w:rPr>
          <w:rFonts w:hint="eastAsia" w:ascii="Times New Roman" w:hAnsi="Times New Roman"/>
          <w:i w:val="0"/>
          <w:iCs/>
          <w:color w:val="auto"/>
          <w:highlight w:val="none"/>
          <w:u w:val="single"/>
          <w:lang w:val="en-US" w:eastAsia="zh-CN"/>
        </w:rPr>
        <w:t xml:space="preserve">    </w:t>
      </w:r>
      <w:r>
        <w:rPr>
          <w:rFonts w:ascii="Times New Roman" w:hAnsi="Times New Roman"/>
          <w:i w:val="0"/>
          <w:iCs/>
          <w:color w:val="auto"/>
          <w:highlight w:val="none"/>
          <w:u w:val="single"/>
        </w:rPr>
        <w:t xml:space="preserve">        </w:t>
      </w:r>
    </w:p>
    <w:p w14:paraId="30431461">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jc w:val="both"/>
        <w:textAlignment w:val="auto"/>
        <w:rPr>
          <w:i w:val="0"/>
          <w:iCs/>
          <w:color w:val="auto"/>
          <w:highlight w:val="none"/>
        </w:rPr>
      </w:pPr>
      <w:r>
        <w:rPr>
          <w:rFonts w:ascii="Times New Roman" w:hAnsi="Times New Roman"/>
          <w:i w:val="0"/>
          <w:iCs/>
          <w:color w:val="auto"/>
          <w:highlight w:val="none"/>
        </w:rPr>
        <w:t>          被授权人联系电话：（手机）</w:t>
      </w:r>
      <w:r>
        <w:rPr>
          <w:rFonts w:ascii="Times New Roman" w:hAnsi="Times New Roman"/>
          <w:i w:val="0"/>
          <w:iCs/>
          <w:color w:val="auto"/>
          <w:highlight w:val="none"/>
          <w:u w:val="single"/>
        </w:rPr>
        <w:t xml:space="preserve">                          </w:t>
      </w:r>
    </w:p>
    <w:p w14:paraId="6C018241">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ind w:firstLine="720" w:firstLineChars="300"/>
        <w:jc w:val="both"/>
        <w:textAlignment w:val="auto"/>
        <w:rPr>
          <w:rFonts w:hint="default" w:eastAsiaTheme="minorEastAsia"/>
          <w:i w:val="0"/>
          <w:iCs/>
          <w:color w:val="auto"/>
          <w:highlight w:val="none"/>
          <w:lang w:val="en-US" w:eastAsia="zh-CN"/>
        </w:rPr>
      </w:pPr>
      <w:r>
        <w:rPr>
          <w:rFonts w:ascii="Times New Roman" w:hAnsi="Times New Roman"/>
          <w:i w:val="0"/>
          <w:iCs/>
          <w:color w:val="auto"/>
          <w:highlight w:val="none"/>
        </w:rPr>
        <w:t>授权单位名称：</w:t>
      </w:r>
      <w:r>
        <w:rPr>
          <w:rFonts w:ascii="Times New Roman" w:hAnsi="Times New Roman"/>
          <w:i w:val="0"/>
          <w:iCs/>
          <w:color w:val="auto"/>
          <w:highlight w:val="none"/>
          <w:u w:val="single"/>
        </w:rPr>
        <w:t>（加盖CA电子公章）</w:t>
      </w:r>
      <w:r>
        <w:rPr>
          <w:rFonts w:hint="eastAsia" w:ascii="Times New Roman" w:hAnsi="Times New Roman"/>
          <w:i w:val="0"/>
          <w:iCs/>
          <w:color w:val="auto"/>
          <w:highlight w:val="none"/>
          <w:u w:val="single"/>
          <w:lang w:val="en-US" w:eastAsia="zh-CN"/>
        </w:rPr>
        <w:t xml:space="preserve">     </w:t>
      </w:r>
    </w:p>
    <w:p w14:paraId="1551940B">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ind w:firstLine="480"/>
        <w:jc w:val="both"/>
        <w:textAlignment w:val="auto"/>
        <w:rPr>
          <w:i w:val="0"/>
          <w:iCs/>
          <w:color w:val="auto"/>
          <w:highlight w:val="none"/>
          <w:shd w:val="clear" w:color="auto" w:fill="auto"/>
        </w:rPr>
      </w:pPr>
      <w:r>
        <w:rPr>
          <w:rFonts w:ascii="Times New Roman" w:hAnsi="Times New Roman"/>
          <w:i w:val="0"/>
          <w:iCs/>
          <w:color w:val="auto"/>
          <w:highlight w:val="none"/>
          <w:shd w:val="clear" w:color="auto" w:fill="auto"/>
        </w:rPr>
        <w:t>    单位地址：</w:t>
      </w:r>
      <w:r>
        <w:rPr>
          <w:rFonts w:ascii="Times New Roman" w:hAnsi="Times New Roman"/>
          <w:i w:val="0"/>
          <w:iCs/>
          <w:color w:val="auto"/>
          <w:highlight w:val="none"/>
          <w:u w:val="single"/>
          <w:shd w:val="clear" w:color="auto" w:fill="auto"/>
        </w:rPr>
        <w:t>                                       </w:t>
      </w:r>
      <w:r>
        <w:rPr>
          <w:rFonts w:hint="eastAsia" w:ascii="Times New Roman" w:hAnsi="Times New Roman"/>
          <w:i w:val="0"/>
          <w:iCs/>
          <w:color w:val="auto"/>
          <w:highlight w:val="none"/>
          <w:u w:val="single"/>
          <w:shd w:val="clear" w:color="auto" w:fill="auto"/>
          <w:lang w:val="en-US" w:eastAsia="zh-CN"/>
        </w:rPr>
        <w:t xml:space="preserve">       </w:t>
      </w:r>
      <w:r>
        <w:rPr>
          <w:rFonts w:ascii="Times New Roman" w:hAnsi="Times New Roman"/>
          <w:i w:val="0"/>
          <w:iCs/>
          <w:color w:val="auto"/>
          <w:highlight w:val="none"/>
          <w:u w:val="single"/>
          <w:shd w:val="clear" w:color="auto" w:fill="auto"/>
        </w:rPr>
        <w:t xml:space="preserve">  </w:t>
      </w:r>
    </w:p>
    <w:p w14:paraId="6032F624">
      <w:pPr>
        <w:pStyle w:val="15"/>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700" w:lineRule="exact"/>
        <w:ind w:firstLine="480"/>
        <w:jc w:val="both"/>
        <w:textAlignment w:val="auto"/>
        <w:rPr>
          <w:i w:val="0"/>
          <w:iCs/>
          <w:color w:val="auto"/>
          <w:highlight w:val="none"/>
          <w:shd w:val="clear" w:color="auto" w:fill="auto"/>
        </w:rPr>
      </w:pPr>
      <w:r>
        <w:rPr>
          <w:rFonts w:ascii="Times New Roman" w:hAnsi="Times New Roman"/>
          <w:i w:val="0"/>
          <w:iCs/>
          <w:color w:val="auto"/>
          <w:highlight w:val="none"/>
          <w:shd w:val="clear" w:color="auto" w:fill="auto"/>
        </w:rPr>
        <w:t>    日期：</w:t>
      </w:r>
      <w:bookmarkStart w:id="187" w:name="_Hlt26671380"/>
      <w:bookmarkStart w:id="188" w:name="_Hlt26955070"/>
      <w:bookmarkStart w:id="189" w:name="_格式3__银行出具的资信证明"/>
      <w:r>
        <w:rPr>
          <w:rFonts w:ascii="Times New Roman" w:hAnsi="Times New Roman"/>
          <w:i w:val="0"/>
          <w:iCs/>
          <w:color w:val="auto"/>
          <w:highlight w:val="none"/>
          <w:u w:val="single"/>
          <w:shd w:val="clear" w:color="auto" w:fill="auto"/>
        </w:rPr>
        <w:t>                                      </w:t>
      </w:r>
      <w:r>
        <w:rPr>
          <w:rFonts w:hint="eastAsia" w:ascii="Times New Roman" w:hAnsi="Times New Roman"/>
          <w:i w:val="0"/>
          <w:iCs/>
          <w:color w:val="auto"/>
          <w:highlight w:val="none"/>
          <w:u w:val="single"/>
          <w:shd w:val="clear" w:color="auto" w:fill="auto"/>
          <w:lang w:val="en-US" w:eastAsia="zh-CN"/>
        </w:rPr>
        <w:t xml:space="preserve">           </w:t>
      </w:r>
      <w:r>
        <w:rPr>
          <w:rFonts w:ascii="Times New Roman" w:hAnsi="Times New Roman"/>
          <w:i w:val="0"/>
          <w:iCs/>
          <w:color w:val="auto"/>
          <w:highlight w:val="none"/>
          <w:u w:val="single"/>
          <w:shd w:val="clear" w:color="auto" w:fill="auto"/>
        </w:rPr>
        <w:t xml:space="preserve">   </w:t>
      </w:r>
    </w:p>
    <w:p w14:paraId="2984EDBE">
      <w:pPr>
        <w:pStyle w:val="15"/>
        <w:tabs>
          <w:tab w:val="left" w:pos="360"/>
        </w:tabs>
        <w:spacing w:beforeAutospacing="0" w:afterAutospacing="0"/>
        <w:ind w:firstLine="480"/>
        <w:jc w:val="both"/>
        <w:rPr>
          <w:rFonts w:hint="default" w:eastAsiaTheme="minorEastAsia"/>
          <w:i w:val="0"/>
          <w:iCs/>
          <w:color w:val="auto"/>
          <w:highlight w:val="none"/>
          <w:shd w:val="clear" w:color="auto" w:fill="auto"/>
          <w:lang w:val="en-US" w:eastAsia="zh-CN"/>
        </w:rPr>
      </w:pPr>
      <w:r>
        <w:rPr>
          <w:i w:val="0"/>
          <w:iCs/>
          <w:color w:val="auto"/>
          <w:highlight w:val="none"/>
          <w:shd w:val="clear" w:color="auto" w:fill="auto"/>
        </w:rPr>
        <w:t> </w:t>
      </w:r>
      <w:r>
        <w:rPr>
          <w:rFonts w:hint="eastAsia"/>
          <w:i w:val="0"/>
          <w:iCs/>
          <w:color w:val="auto"/>
          <w:highlight w:val="none"/>
          <w:shd w:val="clear" w:color="auto" w:fill="auto"/>
          <w:lang w:val="en-US" w:eastAsia="zh-CN"/>
        </w:rPr>
        <w:t xml:space="preserve">  </w:t>
      </w:r>
    </w:p>
    <w:p w14:paraId="282CC826">
      <w:pPr>
        <w:pStyle w:val="15"/>
        <w:spacing w:beforeAutospacing="0" w:afterAutospacing="0"/>
        <w:ind w:firstLine="420"/>
        <w:jc w:val="both"/>
        <w:rPr>
          <w:i w:val="0"/>
          <w:iCs/>
          <w:color w:val="auto"/>
          <w:highlight w:val="none"/>
          <w:shd w:val="clear" w:color="auto" w:fill="auto"/>
        </w:rPr>
      </w:pPr>
      <w:r>
        <w:rPr>
          <w:i w:val="0"/>
          <w:iCs/>
          <w:color w:val="auto"/>
          <w:highlight w:val="none"/>
          <w:shd w:val="clear" w:color="auto" w:fill="auto"/>
        </w:rPr>
        <w:t> </w:t>
      </w:r>
    </w:p>
    <w:p w14:paraId="62DF9684">
      <w:pPr>
        <w:pStyle w:val="15"/>
        <w:spacing w:beforeAutospacing="0" w:afterAutospacing="0"/>
        <w:jc w:val="both"/>
        <w:rPr>
          <w:i w:val="0"/>
          <w:iCs/>
          <w:color w:val="auto"/>
          <w:highlight w:val="none"/>
        </w:rPr>
      </w:pPr>
      <w:r>
        <w:rPr>
          <w:i w:val="0"/>
          <w:iCs/>
          <w:color w:val="auto"/>
          <w:highlight w:val="none"/>
        </w:rPr>
        <w:t> </w:t>
      </w:r>
    </w:p>
    <w:p w14:paraId="120A64CC">
      <w:pPr>
        <w:pStyle w:val="15"/>
        <w:keepNext/>
        <w:keepLines/>
        <w:spacing w:before="260" w:beforeAutospacing="0" w:after="260" w:afterAutospacing="0" w:line="415" w:lineRule="auto"/>
        <w:ind w:firstLine="3390"/>
        <w:jc w:val="both"/>
        <w:rPr>
          <w:i w:val="0"/>
          <w:iCs/>
          <w:color w:val="auto"/>
          <w:highlight w:val="none"/>
          <w:u w:val="none"/>
        </w:rPr>
      </w:pPr>
      <w:r>
        <w:rPr>
          <w:rFonts w:hint="eastAsia" w:ascii="宋体" w:hAnsi="宋体" w:eastAsia="宋体" w:cs="宋体"/>
          <w:b/>
          <w:i w:val="0"/>
          <w:iCs/>
          <w:color w:val="auto"/>
          <w:highlight w:val="none"/>
        </w:rPr>
        <w:br w:type="page"/>
      </w:r>
      <w:r>
        <w:rPr>
          <w:rFonts w:hint="eastAsia" w:ascii="宋体" w:hAnsi="宋体" w:eastAsia="宋体" w:cs="宋体"/>
          <w:b/>
          <w:i w:val="0"/>
          <w:iCs/>
          <w:color w:val="auto"/>
          <w:highlight w:val="none"/>
          <w:u w:val="none"/>
        </w:rPr>
        <w:t> </w:t>
      </w:r>
      <w:r>
        <w:rPr>
          <w:rFonts w:hint="eastAsia" w:ascii="黑体" w:hAnsi="宋体" w:eastAsia="黑体" w:cs="黑体"/>
          <w:b/>
          <w:i w:val="0"/>
          <w:iCs/>
          <w:color w:val="auto"/>
          <w:sz w:val="32"/>
          <w:szCs w:val="32"/>
          <w:highlight w:val="none"/>
          <w:u w:val="none"/>
        </w:rPr>
        <w:t>八、磋商响应函</w:t>
      </w:r>
    </w:p>
    <w:p w14:paraId="14648364">
      <w:pPr>
        <w:pStyle w:val="15"/>
        <w:spacing w:beforeAutospacing="0" w:afterAutospacing="0" w:line="0" w:lineRule="atLeast"/>
        <w:rPr>
          <w:rFonts w:hint="default" w:eastAsia="宋体"/>
          <w:i w:val="0"/>
          <w:iCs/>
          <w:color w:val="auto"/>
          <w:highlight w:val="none"/>
          <w:lang w:val="en-US" w:eastAsia="zh-CN"/>
        </w:rPr>
      </w:pPr>
      <w:r>
        <w:rPr>
          <w:rFonts w:hint="eastAsia" w:ascii="宋体" w:hAnsi="宋体" w:eastAsia="宋体" w:cs="宋体"/>
          <w:i w:val="0"/>
          <w:iCs/>
          <w:color w:val="auto"/>
          <w:highlight w:val="none"/>
        </w:rPr>
        <w:t>致：</w:t>
      </w:r>
      <w:r>
        <w:rPr>
          <w:rFonts w:hint="eastAsia" w:ascii="宋体" w:hAnsi="宋体" w:eastAsia="宋体" w:cs="宋体"/>
          <w:i w:val="0"/>
          <w:iCs/>
          <w:color w:val="auto"/>
          <w:highlight w:val="none"/>
          <w:u w:val="single"/>
          <w:lang w:val="en-US" w:eastAsia="zh-CN"/>
        </w:rPr>
        <w:t xml:space="preserve">   </w:t>
      </w:r>
      <w:r>
        <w:rPr>
          <w:rFonts w:hint="eastAsia" w:ascii="宋体" w:hAnsi="宋体" w:cs="宋体"/>
          <w:color w:val="000000" w:themeColor="text1"/>
          <w:sz w:val="24"/>
          <w:u w:val="single"/>
          <w14:textFill>
            <w14:solidFill>
              <w14:schemeClr w14:val="tx1"/>
            </w14:solidFill>
          </w14:textFill>
        </w:rPr>
        <w:t>（采购人）</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i w:val="0"/>
          <w:iCs/>
          <w:color w:val="auto"/>
          <w:highlight w:val="none"/>
          <w:u w:val="single"/>
          <w:lang w:val="en-US" w:eastAsia="zh-CN"/>
        </w:rPr>
        <w:t xml:space="preserve">  </w:t>
      </w:r>
    </w:p>
    <w:p w14:paraId="432CAACC">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i w:val="0"/>
          <w:iCs/>
          <w:color w:val="auto"/>
          <w:highlight w:val="none"/>
        </w:rPr>
      </w:pPr>
      <w:r>
        <w:rPr>
          <w:rFonts w:hint="eastAsia" w:ascii="宋体" w:hAnsi="宋体" w:eastAsia="宋体" w:cs="宋体"/>
          <w:i w:val="0"/>
          <w:iCs/>
          <w:color w:val="auto"/>
          <w:highlight w:val="none"/>
        </w:rPr>
        <w:t>根据贵方的</w:t>
      </w:r>
      <w:r>
        <w:rPr>
          <w:rFonts w:hint="eastAsia" w:ascii="宋体" w:hAnsi="宋体" w:eastAsia="宋体" w:cs="宋体"/>
          <w:i w:val="0"/>
          <w:iCs/>
          <w:color w:val="auto"/>
          <w:highlight w:val="none"/>
          <w:u w:val="single"/>
        </w:rPr>
        <w:t>JSZC-320902-KYJS-C2026-0001</w:t>
      </w:r>
      <w:r>
        <w:rPr>
          <w:rFonts w:hint="eastAsia" w:ascii="宋体" w:hAnsi="宋体" w:eastAsia="宋体" w:cs="宋体"/>
          <w:i w:val="0"/>
          <w:iCs/>
          <w:color w:val="auto"/>
          <w:highlight w:val="none"/>
        </w:rPr>
        <w:t>号磋商文件，正式授权下述签字人(签字或签</w:t>
      </w:r>
      <w:r>
        <w:rPr>
          <w:rFonts w:hint="eastAsia" w:ascii="宋体" w:hAnsi="宋体" w:eastAsia="宋体" w:cs="宋体"/>
          <w:i w:val="0"/>
          <w:iCs/>
          <w:color w:val="auto"/>
          <w:highlight w:val="none"/>
          <w:lang w:val="en-US" w:eastAsia="zh-CN"/>
        </w:rPr>
        <w:t>章</w:t>
      </w:r>
      <w:r>
        <w:rPr>
          <w:rFonts w:hint="eastAsia" w:ascii="宋体" w:hAnsi="宋体" w:eastAsia="宋体" w:cs="宋体"/>
          <w:i w:val="0"/>
          <w:iCs/>
          <w:color w:val="auto"/>
          <w:highlight w:val="none"/>
        </w:rPr>
        <w:t>)______(姓名)代表我方______________（供应商的名称），全权处理本次项目磋商的有关事宜。</w:t>
      </w:r>
    </w:p>
    <w:p w14:paraId="5B0D4D7B">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textAlignment w:val="auto"/>
        <w:rPr>
          <w:i w:val="0"/>
          <w:iCs/>
          <w:color w:val="auto"/>
          <w:highlight w:val="none"/>
        </w:rPr>
      </w:pPr>
      <w:r>
        <w:rPr>
          <w:rFonts w:hint="eastAsia" w:ascii="宋体" w:hAnsi="宋体" w:eastAsia="宋体" w:cs="宋体"/>
          <w:i w:val="0"/>
          <w:iCs/>
          <w:color w:val="auto"/>
          <w:highlight w:val="none"/>
        </w:rPr>
        <w:t>据此函，__________签字人(签字或签</w:t>
      </w:r>
      <w:r>
        <w:rPr>
          <w:rFonts w:hint="eastAsia" w:ascii="宋体" w:hAnsi="宋体" w:eastAsia="宋体" w:cs="宋体"/>
          <w:i w:val="0"/>
          <w:iCs/>
          <w:color w:val="auto"/>
          <w:highlight w:val="none"/>
          <w:lang w:val="en-US" w:eastAsia="zh-CN"/>
        </w:rPr>
        <w:t>章</w:t>
      </w:r>
      <w:r>
        <w:rPr>
          <w:rFonts w:hint="eastAsia" w:ascii="宋体" w:hAnsi="宋体" w:eastAsia="宋体" w:cs="宋体"/>
          <w:i w:val="0"/>
          <w:iCs/>
          <w:color w:val="auto"/>
          <w:highlight w:val="none"/>
        </w:rPr>
        <w:t>)兹宣布同意如下：</w:t>
      </w:r>
    </w:p>
    <w:p w14:paraId="6D1F6011">
      <w:pPr>
        <w:pStyle w:val="15"/>
        <w:keepNext w:val="0"/>
        <w:keepLines w:val="0"/>
        <w:pageBreakBefore w:val="0"/>
        <w:widowControl w:val="0"/>
        <w:numPr>
          <w:ilvl w:val="0"/>
          <w:numId w:val="4"/>
        </w:numPr>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i w:val="0"/>
          <w:iCs/>
          <w:color w:val="auto"/>
          <w:highlight w:val="none"/>
          <w:lang w:eastAsia="zh-CN"/>
        </w:rPr>
      </w:pPr>
      <w:r>
        <w:rPr>
          <w:rFonts w:hint="eastAsia" w:ascii="宋体" w:hAnsi="宋体" w:eastAsia="宋体" w:cs="宋体"/>
          <w:i w:val="0"/>
          <w:iCs/>
          <w:color w:val="auto"/>
          <w:highlight w:val="none"/>
        </w:rPr>
        <w:t>按磋商文件规定的各项要求，向买方提供所需服务</w:t>
      </w:r>
      <w:r>
        <w:rPr>
          <w:rFonts w:hint="eastAsia" w:ascii="宋体" w:hAnsi="宋体" w:eastAsia="宋体" w:cs="宋体"/>
          <w:i w:val="0"/>
          <w:iCs/>
          <w:color w:val="auto"/>
          <w:highlight w:val="none"/>
          <w:lang w:eastAsia="zh-CN"/>
        </w:rPr>
        <w:t>。</w:t>
      </w:r>
    </w:p>
    <w:p w14:paraId="79B6BF02">
      <w:pPr>
        <w:pStyle w:val="1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00" w:lineRule="exact"/>
        <w:ind w:firstLine="480" w:firstLineChars="200"/>
        <w:textAlignment w:val="auto"/>
        <w:rPr>
          <w:i w:val="0"/>
          <w:iCs/>
          <w:color w:val="auto"/>
          <w:highlight w:val="none"/>
        </w:rPr>
      </w:pPr>
      <w:r>
        <w:rPr>
          <w:rFonts w:hint="eastAsia" w:ascii="宋体" w:hAnsi="宋体" w:eastAsia="宋体" w:cs="宋体"/>
          <w:i w:val="0"/>
          <w:iCs/>
          <w:color w:val="auto"/>
          <w:highlight w:val="none"/>
        </w:rPr>
        <w:t>2.我们完全理解贵方不一定将合同授予最低报价的供应商。</w:t>
      </w:r>
    </w:p>
    <w:p w14:paraId="5D38E218">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i w:val="0"/>
          <w:iCs/>
          <w:color w:val="auto"/>
          <w:highlight w:val="none"/>
        </w:rPr>
      </w:pPr>
      <w:r>
        <w:rPr>
          <w:rFonts w:hint="eastAsia" w:ascii="宋体" w:hAnsi="宋体" w:eastAsia="宋体" w:cs="宋体"/>
          <w:i w:val="0"/>
          <w:iCs/>
          <w:color w:val="auto"/>
          <w:highlight w:val="none"/>
        </w:rPr>
        <w:t>3.我们已详细审核全部磋商文件及其有效补充文件，我们知道必须放弃提出含糊不清或误解问题的权利。</w:t>
      </w:r>
    </w:p>
    <w:p w14:paraId="056F4984">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i w:val="0"/>
          <w:iCs/>
          <w:color w:val="auto"/>
          <w:highlight w:val="none"/>
        </w:rPr>
      </w:pPr>
      <w:r>
        <w:rPr>
          <w:rFonts w:hint="eastAsia" w:ascii="宋体" w:hAnsi="宋体" w:eastAsia="宋体" w:cs="宋体"/>
          <w:i w:val="0"/>
          <w:iCs/>
          <w:color w:val="auto"/>
          <w:highlight w:val="none"/>
        </w:rPr>
        <w:t>4.</w:t>
      </w:r>
      <w:r>
        <w:rPr>
          <w:rFonts w:hint="eastAsia" w:ascii="宋体" w:hAnsi="宋体" w:cs="宋体"/>
          <w:color w:val="000000" w:themeColor="text1"/>
          <w:sz w:val="24"/>
          <w14:textFill>
            <w14:solidFill>
              <w14:schemeClr w14:val="tx1"/>
            </w14:solidFill>
          </w14:textFill>
        </w:rPr>
        <w:t>我们同意从规定的响应文件接收截止时间起遵循本响应文件，并在规定的磋商有效期期满之前均具有约束力</w:t>
      </w:r>
      <w:r>
        <w:rPr>
          <w:rFonts w:hint="eastAsia" w:ascii="宋体" w:hAnsi="宋体" w:eastAsia="宋体" w:cs="宋体"/>
          <w:i w:val="0"/>
          <w:iCs/>
          <w:color w:val="auto"/>
          <w:highlight w:val="none"/>
        </w:rPr>
        <w:t>。</w:t>
      </w:r>
    </w:p>
    <w:p w14:paraId="05181D00">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i w:val="0"/>
          <w:iCs/>
          <w:color w:val="auto"/>
          <w:highlight w:val="none"/>
        </w:rPr>
      </w:pPr>
      <w:r>
        <w:rPr>
          <w:rFonts w:hint="eastAsia" w:ascii="宋体" w:hAnsi="宋体" w:eastAsia="宋体" w:cs="宋体"/>
          <w:i w:val="0"/>
          <w:iCs/>
          <w:color w:val="auto"/>
          <w:highlight w:val="none"/>
        </w:rPr>
        <w:t>5.同意向贵方提供贵方可能另外要求的与磋商有关的任何证据或资料，并保证我方已提供和将要提供的文件是真实的、准确的。</w:t>
      </w:r>
    </w:p>
    <w:p w14:paraId="4696985E">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i w:val="0"/>
          <w:iCs/>
          <w:color w:val="auto"/>
          <w:highlight w:val="none"/>
        </w:rPr>
      </w:pPr>
      <w:r>
        <w:rPr>
          <w:rFonts w:hint="eastAsia" w:ascii="宋体" w:hAnsi="宋体" w:eastAsia="宋体" w:cs="宋体"/>
          <w:i w:val="0"/>
          <w:iCs/>
          <w:color w:val="auto"/>
          <w:highlight w:val="none"/>
        </w:rPr>
        <w:t>6.一旦我方成交,我方将根据磋商文件的规定，严格履行合同的责任和义务,并保证在磋商文件规定的时间完成项目，交付买方验收、使用。</w:t>
      </w:r>
    </w:p>
    <w:p w14:paraId="3F51194B">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5"/>
        <w:textAlignment w:val="auto"/>
        <w:rPr>
          <w:i w:val="0"/>
          <w:iCs/>
          <w:color w:val="auto"/>
          <w:highlight w:val="none"/>
        </w:rPr>
      </w:pPr>
      <w:r>
        <w:rPr>
          <w:rFonts w:hint="eastAsia" w:ascii="宋体" w:hAnsi="宋体" w:eastAsia="宋体" w:cs="宋体"/>
          <w:i w:val="0"/>
          <w:iCs/>
          <w:color w:val="auto"/>
          <w:highlight w:val="none"/>
        </w:rPr>
        <w:t>7.我方与本磋商有关的正式通讯地址为：</w:t>
      </w:r>
    </w:p>
    <w:p w14:paraId="1D6A4F9A">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地</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址：</w:t>
      </w:r>
    </w:p>
    <w:p w14:paraId="5C8EA732">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邮</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编：</w:t>
      </w:r>
    </w:p>
    <w:p w14:paraId="09658CED">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电</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话：</w:t>
      </w:r>
    </w:p>
    <w:p w14:paraId="4213DB8F">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传</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真：</w:t>
      </w:r>
    </w:p>
    <w:p w14:paraId="3453934B">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供应商开户行：</w:t>
      </w:r>
    </w:p>
    <w:p w14:paraId="771BA470">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账</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 xml:space="preserve">号： </w:t>
      </w:r>
    </w:p>
    <w:p w14:paraId="23323059">
      <w:pPr>
        <w:pStyle w:val="15"/>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20" w:firstLine="480"/>
        <w:textAlignment w:val="auto"/>
        <w:rPr>
          <w:i w:val="0"/>
          <w:iCs/>
          <w:color w:val="auto"/>
          <w:highlight w:val="none"/>
        </w:rPr>
      </w:pPr>
      <w:r>
        <w:rPr>
          <w:rFonts w:hint="eastAsia" w:ascii="宋体" w:hAnsi="宋体" w:eastAsia="宋体" w:cs="宋体"/>
          <w:i w:val="0"/>
          <w:iCs/>
          <w:color w:val="auto"/>
          <w:highlight w:val="none"/>
        </w:rPr>
        <w:t>日</w:t>
      </w:r>
      <w:r>
        <w:rPr>
          <w:rFonts w:hint="eastAsia" w:ascii="宋体" w:hAnsi="宋体" w:eastAsia="宋体" w:cs="宋体"/>
          <w:i w:val="0"/>
          <w:iCs/>
          <w:color w:val="auto"/>
          <w:highlight w:val="none"/>
          <w:lang w:val="en-US" w:eastAsia="zh-CN"/>
        </w:rPr>
        <w:t xml:space="preserve"> </w:t>
      </w:r>
      <w:r>
        <w:rPr>
          <w:rFonts w:hint="eastAsia" w:ascii="宋体" w:hAnsi="宋体" w:eastAsia="宋体" w:cs="宋体"/>
          <w:i w:val="0"/>
          <w:iCs/>
          <w:color w:val="auto"/>
          <w:highlight w:val="none"/>
        </w:rPr>
        <w:t>期：________年____月____日</w:t>
      </w:r>
    </w:p>
    <w:p w14:paraId="455B6897">
      <w:pPr>
        <w:pStyle w:val="15"/>
        <w:spacing w:beforeAutospacing="0" w:afterAutospacing="0" w:line="0" w:lineRule="atLeast"/>
        <w:ind w:firstLine="240"/>
        <w:jc w:val="center"/>
        <w:rPr>
          <w:i w:val="0"/>
          <w:iCs/>
          <w:color w:val="auto"/>
          <w:highlight w:val="none"/>
        </w:rPr>
      </w:pPr>
      <w:r>
        <w:rPr>
          <w:i w:val="0"/>
          <w:iCs/>
          <w:color w:val="auto"/>
          <w:highlight w:val="none"/>
        </w:rPr>
        <w:t> </w:t>
      </w:r>
    </w:p>
    <w:p w14:paraId="14152783">
      <w:pPr>
        <w:pStyle w:val="15"/>
        <w:spacing w:beforeAutospacing="0" w:afterAutospacing="0" w:line="0" w:lineRule="atLeast"/>
        <w:ind w:firstLine="240"/>
        <w:jc w:val="center"/>
        <w:rPr>
          <w:i w:val="0"/>
          <w:iCs/>
          <w:color w:val="auto"/>
          <w:highlight w:val="none"/>
        </w:rPr>
      </w:pPr>
    </w:p>
    <w:p w14:paraId="0A163F86">
      <w:pPr>
        <w:pStyle w:val="15"/>
        <w:spacing w:beforeAutospacing="0" w:afterAutospacing="0" w:line="0" w:lineRule="atLeast"/>
        <w:ind w:firstLine="240"/>
        <w:jc w:val="center"/>
        <w:rPr>
          <w:i w:val="0"/>
          <w:iCs/>
          <w:color w:val="auto"/>
          <w:highlight w:val="none"/>
        </w:rPr>
      </w:pPr>
    </w:p>
    <w:p w14:paraId="3EBAC7A8">
      <w:pPr>
        <w:pStyle w:val="15"/>
        <w:spacing w:beforeAutospacing="0" w:afterAutospacing="0" w:line="0" w:lineRule="atLeast"/>
        <w:ind w:firstLine="240"/>
        <w:jc w:val="center"/>
        <w:rPr>
          <w:i w:val="0"/>
          <w:iCs/>
          <w:color w:val="auto"/>
          <w:highlight w:val="none"/>
        </w:rPr>
      </w:pPr>
    </w:p>
    <w:p w14:paraId="115AEC3B">
      <w:pPr>
        <w:pStyle w:val="15"/>
        <w:spacing w:beforeAutospacing="0" w:afterAutospacing="0" w:line="0" w:lineRule="atLeast"/>
        <w:ind w:firstLine="240"/>
        <w:jc w:val="center"/>
        <w:rPr>
          <w:i w:val="0"/>
          <w:iCs/>
          <w:color w:val="auto"/>
          <w:highlight w:val="none"/>
        </w:rPr>
      </w:pPr>
    </w:p>
    <w:p w14:paraId="260518F8">
      <w:pPr>
        <w:pStyle w:val="15"/>
        <w:spacing w:beforeAutospacing="0" w:afterAutospacing="0" w:line="0" w:lineRule="atLeast"/>
        <w:ind w:firstLine="240"/>
        <w:jc w:val="center"/>
        <w:rPr>
          <w:i w:val="0"/>
          <w:iCs/>
          <w:color w:val="auto"/>
          <w:highlight w:val="none"/>
        </w:rPr>
      </w:pPr>
    </w:p>
    <w:p w14:paraId="52557489">
      <w:pPr>
        <w:pStyle w:val="15"/>
        <w:spacing w:beforeAutospacing="0" w:afterAutospacing="0" w:line="0" w:lineRule="atLeast"/>
        <w:ind w:firstLine="240"/>
        <w:jc w:val="center"/>
        <w:rPr>
          <w:i w:val="0"/>
          <w:iCs/>
          <w:color w:val="auto"/>
          <w:highlight w:val="none"/>
        </w:rPr>
      </w:pPr>
    </w:p>
    <w:p w14:paraId="03BBC382">
      <w:pPr>
        <w:pStyle w:val="15"/>
        <w:spacing w:beforeAutospacing="0" w:afterAutospacing="0" w:line="0" w:lineRule="atLeast"/>
        <w:ind w:firstLine="240"/>
        <w:jc w:val="center"/>
        <w:rPr>
          <w:i w:val="0"/>
          <w:iCs/>
          <w:color w:val="auto"/>
          <w:highlight w:val="none"/>
        </w:rPr>
      </w:pPr>
    </w:p>
    <w:p w14:paraId="30B670C7">
      <w:pPr>
        <w:pStyle w:val="15"/>
        <w:spacing w:beforeAutospacing="0" w:afterAutospacing="0" w:line="0" w:lineRule="atLeast"/>
        <w:ind w:firstLine="240"/>
        <w:jc w:val="center"/>
        <w:rPr>
          <w:i w:val="0"/>
          <w:iCs/>
          <w:color w:val="auto"/>
          <w:highlight w:val="none"/>
        </w:rPr>
      </w:pPr>
    </w:p>
    <w:p w14:paraId="29F185B6">
      <w:pPr>
        <w:pStyle w:val="15"/>
        <w:spacing w:beforeAutospacing="0" w:afterAutospacing="0" w:line="0" w:lineRule="atLeast"/>
        <w:jc w:val="center"/>
        <w:rPr>
          <w:i w:val="0"/>
          <w:iCs/>
          <w:color w:val="auto"/>
          <w:highlight w:val="none"/>
        </w:rPr>
      </w:pPr>
      <w:r>
        <w:rPr>
          <w:i w:val="0"/>
          <w:iCs/>
          <w:color w:val="auto"/>
          <w:highlight w:val="none"/>
        </w:rPr>
        <w:t> </w:t>
      </w:r>
    </w:p>
    <w:p w14:paraId="76E9D5C9">
      <w:pPr>
        <w:pStyle w:val="15"/>
        <w:spacing w:beforeAutospacing="0" w:afterAutospacing="0" w:line="0" w:lineRule="atLeast"/>
        <w:jc w:val="center"/>
        <w:rPr>
          <w:i w:val="0"/>
          <w:iCs/>
          <w:color w:val="auto"/>
          <w:highlight w:val="none"/>
        </w:rPr>
      </w:pPr>
      <w:r>
        <w:rPr>
          <w:i w:val="0"/>
          <w:iCs/>
          <w:color w:val="auto"/>
          <w:highlight w:val="none"/>
        </w:rPr>
        <w:t> </w:t>
      </w:r>
      <w:r>
        <w:rPr>
          <w:rFonts w:hint="eastAsia" w:ascii="黑体" w:hAnsi="宋体" w:eastAsia="黑体" w:cs="黑体"/>
          <w:b/>
          <w:i w:val="0"/>
          <w:iCs/>
          <w:color w:val="auto"/>
          <w:sz w:val="32"/>
          <w:szCs w:val="32"/>
          <w:highlight w:val="none"/>
        </w:rPr>
        <w:t>九、</w:t>
      </w:r>
      <w:r>
        <w:rPr>
          <w:rFonts w:hint="eastAsia" w:ascii="黑体" w:hAnsi="宋体" w:eastAsia="黑体" w:cs="黑体"/>
          <w:b/>
          <w:i w:val="0"/>
          <w:iCs/>
          <w:color w:val="auto"/>
          <w:sz w:val="32"/>
          <w:szCs w:val="32"/>
          <w:highlight w:val="none"/>
          <w:lang w:val="en-US" w:eastAsia="zh-CN"/>
        </w:rPr>
        <w:t>中小</w:t>
      </w:r>
      <w:r>
        <w:rPr>
          <w:rFonts w:hint="eastAsia" w:ascii="黑体" w:hAnsi="宋体" w:eastAsia="黑体" w:cs="黑体"/>
          <w:b/>
          <w:i w:val="0"/>
          <w:iCs/>
          <w:color w:val="auto"/>
          <w:sz w:val="32"/>
          <w:szCs w:val="32"/>
          <w:highlight w:val="none"/>
        </w:rPr>
        <w:t>企业声明函（</w:t>
      </w:r>
      <w:r>
        <w:rPr>
          <w:rFonts w:hint="eastAsia" w:ascii="黑体" w:hAnsi="宋体" w:eastAsia="黑体" w:cs="黑体"/>
          <w:b/>
          <w:i w:val="0"/>
          <w:iCs/>
          <w:color w:val="auto"/>
          <w:sz w:val="32"/>
          <w:szCs w:val="32"/>
          <w:highlight w:val="none"/>
          <w:lang w:val="en-US" w:eastAsia="zh-CN"/>
        </w:rPr>
        <w:t>工程</w:t>
      </w:r>
      <w:r>
        <w:rPr>
          <w:rFonts w:hint="eastAsia" w:ascii="黑体" w:hAnsi="宋体" w:eastAsia="黑体" w:cs="黑体"/>
          <w:b/>
          <w:i w:val="0"/>
          <w:iCs/>
          <w:color w:val="auto"/>
          <w:sz w:val="32"/>
          <w:szCs w:val="32"/>
          <w:highlight w:val="none"/>
        </w:rPr>
        <w:t>）</w:t>
      </w:r>
    </w:p>
    <w:p w14:paraId="1DCF832C">
      <w:pPr>
        <w:spacing w:line="500" w:lineRule="exact"/>
        <w:ind w:firstLine="480"/>
        <w:jc w:val="both"/>
        <w:rPr>
          <w:rFonts w:hint="eastAsia"/>
          <w:i w:val="0"/>
          <w:iCs/>
          <w:color w:val="auto"/>
          <w:sz w:val="24"/>
          <w:highlight w:val="none"/>
        </w:rPr>
      </w:pPr>
      <w:r>
        <w:rPr>
          <w:rFonts w:hint="eastAsia"/>
          <w:i w:val="0"/>
          <w:iCs/>
          <w:color w:val="auto"/>
          <w:sz w:val="24"/>
          <w:highlight w:val="none"/>
        </w:rPr>
        <w:t>本公司</w:t>
      </w:r>
      <w:r>
        <w:rPr>
          <w:rFonts w:hint="eastAsia"/>
          <w:i w:val="0"/>
          <w:iCs/>
          <w:color w:val="auto"/>
          <w:sz w:val="24"/>
          <w:highlight w:val="none"/>
          <w:u w:val="single"/>
          <w:lang w:val="en-US" w:eastAsia="zh-CN"/>
        </w:rPr>
        <w:t xml:space="preserve">         （</w:t>
      </w:r>
      <w:r>
        <w:rPr>
          <w:rFonts w:hint="eastAsia"/>
          <w:i w:val="0"/>
          <w:iCs/>
          <w:color w:val="auto"/>
          <w:sz w:val="24"/>
          <w:highlight w:val="none"/>
          <w:u w:val="single"/>
        </w:rPr>
        <w:t>联合体）</w:t>
      </w:r>
      <w:r>
        <w:rPr>
          <w:rFonts w:hint="eastAsia"/>
          <w:i w:val="0"/>
          <w:iCs/>
          <w:color w:val="auto"/>
          <w:sz w:val="24"/>
          <w:highlight w:val="none"/>
          <w:u w:val="single"/>
          <w:lang w:val="en-US" w:eastAsia="zh-CN"/>
        </w:rPr>
        <w:t xml:space="preserve">   </w:t>
      </w:r>
      <w:r>
        <w:rPr>
          <w:rFonts w:hint="eastAsia"/>
          <w:i w:val="0"/>
          <w:iCs/>
          <w:color w:val="auto"/>
          <w:sz w:val="24"/>
          <w:highlight w:val="none"/>
        </w:rPr>
        <w:t>郑重声明，根据《政府采购促进中小企业发展管理办法》（财库﹝2020﹞46 号）的规定，本公司</w:t>
      </w:r>
      <w:r>
        <w:rPr>
          <w:rFonts w:hint="eastAsia"/>
          <w:i w:val="0"/>
          <w:iCs/>
          <w:color w:val="auto"/>
          <w:sz w:val="24"/>
          <w:highlight w:val="none"/>
          <w:u w:val="single"/>
          <w:lang w:val="en-US" w:eastAsia="zh-CN"/>
        </w:rPr>
        <w:t xml:space="preserve">         （</w:t>
      </w:r>
      <w:r>
        <w:rPr>
          <w:rFonts w:hint="eastAsia"/>
          <w:i w:val="0"/>
          <w:iCs/>
          <w:color w:val="auto"/>
          <w:sz w:val="24"/>
          <w:highlight w:val="none"/>
          <w:u w:val="single"/>
        </w:rPr>
        <w:t>联合体）</w:t>
      </w:r>
      <w:r>
        <w:rPr>
          <w:rFonts w:hint="eastAsia"/>
          <w:i w:val="0"/>
          <w:iCs/>
          <w:color w:val="auto"/>
          <w:sz w:val="24"/>
          <w:highlight w:val="none"/>
        </w:rPr>
        <w:t>参加</w:t>
      </w:r>
      <w:r>
        <w:rPr>
          <w:rFonts w:hint="eastAsia"/>
          <w:i w:val="0"/>
          <w:iCs/>
          <w:color w:val="auto"/>
          <w:sz w:val="24"/>
          <w:highlight w:val="none"/>
          <w:u w:val="single"/>
          <w:lang w:val="en-US" w:eastAsia="zh-CN"/>
        </w:rPr>
        <w:t xml:space="preserve">       </w:t>
      </w:r>
      <w:r>
        <w:rPr>
          <w:rFonts w:hint="eastAsia" w:ascii="宋体" w:hAnsi="宋体" w:cs="宋体"/>
          <w:color w:val="000000" w:themeColor="text1"/>
          <w:sz w:val="24"/>
          <w:u w:val="single"/>
          <w14:textFill>
            <w14:solidFill>
              <w14:schemeClr w14:val="tx1"/>
            </w14:solidFill>
          </w14:textFill>
        </w:rPr>
        <w:t>（采购人）</w:t>
      </w:r>
      <w:r>
        <w:rPr>
          <w:rFonts w:hint="eastAsia"/>
          <w:i w:val="0"/>
          <w:iCs/>
          <w:color w:val="auto"/>
          <w:sz w:val="24"/>
          <w:highlight w:val="none"/>
          <w:u w:val="single"/>
          <w:lang w:val="en-US" w:eastAsia="zh-CN"/>
        </w:rPr>
        <w:t xml:space="preserve">    </w:t>
      </w:r>
      <w:r>
        <w:rPr>
          <w:rFonts w:hint="eastAsia"/>
          <w:i w:val="0"/>
          <w:iCs/>
          <w:color w:val="auto"/>
          <w:sz w:val="24"/>
          <w:highlight w:val="none"/>
        </w:rPr>
        <w:t>组织的采购编号为</w:t>
      </w:r>
      <w:r>
        <w:rPr>
          <w:rFonts w:hint="eastAsia"/>
          <w:i w:val="0"/>
          <w:iCs/>
          <w:color w:val="auto"/>
          <w:sz w:val="24"/>
          <w:highlight w:val="none"/>
          <w:u w:val="single"/>
          <w:lang w:val="en-US" w:eastAsia="zh-CN"/>
        </w:rPr>
        <w:t xml:space="preserve"> JSZC-320902-KYJS-C2026-0001 </w:t>
      </w:r>
      <w:r>
        <w:rPr>
          <w:rFonts w:hint="eastAsia"/>
          <w:i w:val="0"/>
          <w:iCs/>
          <w:color w:val="auto"/>
          <w:sz w:val="24"/>
          <w:highlight w:val="none"/>
          <w:lang w:val="en-US" w:eastAsia="zh-CN"/>
        </w:rPr>
        <w:t>的</w:t>
      </w:r>
      <w:r>
        <w:rPr>
          <w:rFonts w:hint="eastAsia"/>
          <w:i w:val="0"/>
          <w:iCs/>
          <w:color w:val="auto"/>
          <w:sz w:val="24"/>
          <w:highlight w:val="none"/>
          <w:u w:val="single"/>
        </w:rPr>
        <w:t>（项目名称）</w:t>
      </w:r>
      <w:r>
        <w:rPr>
          <w:rFonts w:hint="eastAsia"/>
          <w:i w:val="0"/>
          <w:iCs/>
          <w:color w:val="auto"/>
          <w:sz w:val="24"/>
          <w:highlight w:val="none"/>
          <w:u w:val="single"/>
          <w:lang w:val="en-US" w:eastAsia="zh-CN"/>
        </w:rPr>
        <w:t xml:space="preserve">        </w:t>
      </w:r>
      <w:r>
        <w:rPr>
          <w:rFonts w:hint="eastAsia"/>
          <w:i w:val="0"/>
          <w:iCs/>
          <w:color w:val="auto"/>
          <w:sz w:val="24"/>
          <w:highlight w:val="none"/>
        </w:rPr>
        <w:t>的采购活动，</w:t>
      </w:r>
      <w:r>
        <w:rPr>
          <w:rFonts w:hint="eastAsia" w:ascii="宋体" w:hAnsi="宋体" w:cs="宋体"/>
          <w:color w:val="000000" w:themeColor="text1"/>
          <w:sz w:val="24"/>
          <w14:textFill>
            <w14:solidFill>
              <w14:schemeClr w14:val="tx1"/>
            </w14:solidFill>
          </w14:textFill>
        </w:rPr>
        <w:t>工程的施工单位全部为符合政策要求的中小企业。相关企业（含联合体中的中小企业、签订分包意向协议的中小企业）的具体情况如下</w:t>
      </w:r>
      <w:r>
        <w:rPr>
          <w:rFonts w:hint="eastAsia"/>
          <w:i w:val="0"/>
          <w:iCs/>
          <w:color w:val="auto"/>
          <w:sz w:val="24"/>
          <w:highlight w:val="none"/>
        </w:rPr>
        <w:t>：</w:t>
      </w:r>
    </w:p>
    <w:p w14:paraId="32604D9A">
      <w:pPr>
        <w:numPr>
          <w:ilvl w:val="0"/>
          <w:numId w:val="5"/>
        </w:numPr>
        <w:spacing w:line="500" w:lineRule="exact"/>
        <w:ind w:firstLine="480"/>
        <w:jc w:val="both"/>
        <w:rPr>
          <w:rFonts w:hint="eastAsia"/>
          <w:i w:val="0"/>
          <w:iCs/>
          <w:color w:val="auto"/>
          <w:sz w:val="24"/>
          <w:highlight w:val="none"/>
        </w:rPr>
      </w:pPr>
      <w:r>
        <w:rPr>
          <w:rFonts w:hint="eastAsia"/>
          <w:i w:val="0"/>
          <w:iCs/>
          <w:color w:val="auto"/>
          <w:sz w:val="24"/>
          <w:highlight w:val="none"/>
          <w:u w:val="single"/>
        </w:rPr>
        <w:t>（标的名称）</w:t>
      </w:r>
      <w:r>
        <w:rPr>
          <w:rFonts w:hint="eastAsia"/>
          <w:i w:val="0"/>
          <w:iCs/>
          <w:color w:val="auto"/>
          <w:sz w:val="24"/>
          <w:highlight w:val="none"/>
        </w:rPr>
        <w:t xml:space="preserve"> ，属于</w:t>
      </w:r>
      <w:r>
        <w:rPr>
          <w:rFonts w:hint="eastAsia"/>
          <w:i w:val="0"/>
          <w:iCs/>
          <w:color w:val="auto"/>
          <w:sz w:val="24"/>
          <w:highlight w:val="none"/>
          <w:u w:val="single"/>
        </w:rPr>
        <w:t>（</w:t>
      </w:r>
      <w:r>
        <w:rPr>
          <w:rFonts w:hint="eastAsia"/>
          <w:i w:val="0"/>
          <w:iCs/>
          <w:color w:val="auto"/>
          <w:sz w:val="24"/>
          <w:highlight w:val="none"/>
          <w:u w:val="single"/>
          <w:lang w:val="en-US" w:eastAsia="zh-CN"/>
        </w:rPr>
        <w:t>磋商</w:t>
      </w:r>
      <w:r>
        <w:rPr>
          <w:rFonts w:hint="eastAsia"/>
          <w:i w:val="0"/>
          <w:iCs/>
          <w:color w:val="auto"/>
          <w:sz w:val="24"/>
          <w:highlight w:val="none"/>
          <w:u w:val="single"/>
        </w:rPr>
        <w:t>文件中明确的所属行业）</w:t>
      </w:r>
      <w:r>
        <w:rPr>
          <w:rFonts w:hint="eastAsia"/>
          <w:i w:val="0"/>
          <w:iCs/>
          <w:color w:val="auto"/>
          <w:sz w:val="24"/>
          <w:highlight w:val="none"/>
        </w:rPr>
        <w:t>；承建（承接）企业为</w:t>
      </w:r>
      <w:r>
        <w:rPr>
          <w:rFonts w:hint="eastAsia"/>
          <w:i w:val="0"/>
          <w:iCs/>
          <w:color w:val="auto"/>
          <w:sz w:val="24"/>
          <w:highlight w:val="none"/>
          <w:u w:val="single"/>
        </w:rPr>
        <w:t>（企业名称）</w:t>
      </w:r>
      <w:r>
        <w:rPr>
          <w:rFonts w:hint="eastAsia"/>
          <w:i w:val="0"/>
          <w:iCs/>
          <w:color w:val="auto"/>
          <w:sz w:val="24"/>
          <w:highlight w:val="none"/>
        </w:rPr>
        <w:t>，从业人员</w:t>
      </w:r>
      <w:r>
        <w:rPr>
          <w:rFonts w:hint="eastAsia"/>
          <w:i w:val="0"/>
          <w:iCs/>
          <w:color w:val="auto"/>
          <w:sz w:val="24"/>
          <w:highlight w:val="none"/>
          <w:u w:val="single"/>
          <w:lang w:val="en-US" w:eastAsia="zh-CN"/>
        </w:rPr>
        <w:t xml:space="preserve">    </w:t>
      </w:r>
      <w:r>
        <w:rPr>
          <w:rFonts w:hint="eastAsia"/>
          <w:i w:val="0"/>
          <w:iCs/>
          <w:color w:val="auto"/>
          <w:sz w:val="24"/>
          <w:highlight w:val="none"/>
        </w:rPr>
        <w:t>人，营业收入为</w:t>
      </w:r>
      <w:r>
        <w:rPr>
          <w:rFonts w:hint="eastAsia"/>
          <w:i w:val="0"/>
          <w:iCs/>
          <w:color w:val="auto"/>
          <w:sz w:val="24"/>
          <w:highlight w:val="none"/>
          <w:u w:val="single"/>
          <w:lang w:val="en-US" w:eastAsia="zh-CN"/>
        </w:rPr>
        <w:t xml:space="preserve">    </w:t>
      </w:r>
      <w:r>
        <w:rPr>
          <w:rFonts w:hint="eastAsia"/>
          <w:i w:val="0"/>
          <w:iCs/>
          <w:color w:val="auto"/>
          <w:sz w:val="24"/>
          <w:highlight w:val="none"/>
        </w:rPr>
        <w:t>万元，资产总额为</w:t>
      </w:r>
      <w:r>
        <w:rPr>
          <w:rFonts w:hint="eastAsia"/>
          <w:i w:val="0"/>
          <w:iCs/>
          <w:color w:val="auto"/>
          <w:sz w:val="24"/>
          <w:highlight w:val="none"/>
          <w:u w:val="single"/>
          <w:lang w:val="en-US" w:eastAsia="zh-CN"/>
        </w:rPr>
        <w:t xml:space="preserve">    </w:t>
      </w:r>
      <w:r>
        <w:rPr>
          <w:rFonts w:hint="eastAsia"/>
          <w:i w:val="0"/>
          <w:iCs/>
          <w:color w:val="auto"/>
          <w:sz w:val="24"/>
          <w:highlight w:val="none"/>
        </w:rPr>
        <w:t>万元，属于（</w:t>
      </w:r>
      <w:r>
        <w:rPr>
          <w:rFonts w:hint="eastAsia"/>
          <w:i w:val="0"/>
          <w:iCs/>
          <w:color w:val="auto"/>
          <w:sz w:val="24"/>
          <w:highlight w:val="none"/>
          <w:u w:val="single"/>
        </w:rPr>
        <w:t>中型企业、小型企业、微型企业</w:t>
      </w:r>
      <w:r>
        <w:rPr>
          <w:rFonts w:hint="eastAsia"/>
          <w:i w:val="0"/>
          <w:iCs/>
          <w:color w:val="auto"/>
          <w:sz w:val="24"/>
          <w:highlight w:val="none"/>
        </w:rPr>
        <w:t>）；</w:t>
      </w:r>
    </w:p>
    <w:p w14:paraId="139DC9F7">
      <w:pPr>
        <w:numPr>
          <w:ilvl w:val="0"/>
          <w:numId w:val="5"/>
        </w:numPr>
        <w:spacing w:line="500" w:lineRule="exact"/>
        <w:ind w:left="0" w:leftChars="0" w:firstLine="480" w:firstLineChars="0"/>
        <w:jc w:val="both"/>
        <w:rPr>
          <w:rFonts w:hint="eastAsia"/>
          <w:i w:val="0"/>
          <w:iCs/>
          <w:color w:val="auto"/>
          <w:sz w:val="24"/>
          <w:highlight w:val="none"/>
        </w:rPr>
      </w:pPr>
      <w:r>
        <w:rPr>
          <w:rFonts w:hint="eastAsia"/>
          <w:i w:val="0"/>
          <w:iCs/>
          <w:color w:val="auto"/>
          <w:sz w:val="24"/>
          <w:highlight w:val="none"/>
          <w:u w:val="single"/>
        </w:rPr>
        <w:t>（标的名称）</w:t>
      </w:r>
      <w:r>
        <w:rPr>
          <w:rFonts w:hint="eastAsia"/>
          <w:i w:val="0"/>
          <w:iCs/>
          <w:color w:val="auto"/>
          <w:sz w:val="24"/>
          <w:highlight w:val="none"/>
        </w:rPr>
        <w:t xml:space="preserve"> ，属于</w:t>
      </w:r>
      <w:r>
        <w:rPr>
          <w:rFonts w:hint="eastAsia"/>
          <w:i w:val="0"/>
          <w:iCs/>
          <w:color w:val="auto"/>
          <w:sz w:val="24"/>
          <w:highlight w:val="none"/>
          <w:u w:val="single"/>
        </w:rPr>
        <w:t>（</w:t>
      </w:r>
      <w:r>
        <w:rPr>
          <w:rFonts w:hint="eastAsia"/>
          <w:i w:val="0"/>
          <w:iCs/>
          <w:color w:val="auto"/>
          <w:sz w:val="24"/>
          <w:highlight w:val="none"/>
          <w:u w:val="single"/>
          <w:lang w:val="en-US" w:eastAsia="zh-CN"/>
        </w:rPr>
        <w:t>磋商</w:t>
      </w:r>
      <w:r>
        <w:rPr>
          <w:rFonts w:hint="eastAsia"/>
          <w:i w:val="0"/>
          <w:iCs/>
          <w:color w:val="auto"/>
          <w:sz w:val="24"/>
          <w:highlight w:val="none"/>
          <w:u w:val="single"/>
        </w:rPr>
        <w:t>文件中明确的所属行业）</w:t>
      </w:r>
      <w:r>
        <w:rPr>
          <w:rFonts w:hint="eastAsia"/>
          <w:i w:val="0"/>
          <w:iCs/>
          <w:color w:val="auto"/>
          <w:sz w:val="24"/>
          <w:highlight w:val="none"/>
        </w:rPr>
        <w:t>；承建（承接）企业为</w:t>
      </w:r>
      <w:r>
        <w:rPr>
          <w:rFonts w:hint="eastAsia"/>
          <w:i w:val="0"/>
          <w:iCs/>
          <w:color w:val="auto"/>
          <w:sz w:val="24"/>
          <w:highlight w:val="none"/>
          <w:u w:val="single"/>
        </w:rPr>
        <w:t>（企业名称）</w:t>
      </w:r>
      <w:r>
        <w:rPr>
          <w:rFonts w:hint="eastAsia"/>
          <w:i w:val="0"/>
          <w:iCs/>
          <w:color w:val="auto"/>
          <w:sz w:val="24"/>
          <w:highlight w:val="none"/>
        </w:rPr>
        <w:t>，从业人员</w:t>
      </w:r>
      <w:r>
        <w:rPr>
          <w:rFonts w:hint="eastAsia"/>
          <w:i w:val="0"/>
          <w:iCs/>
          <w:color w:val="auto"/>
          <w:sz w:val="24"/>
          <w:highlight w:val="none"/>
          <w:u w:val="single"/>
          <w:lang w:val="en-US" w:eastAsia="zh-CN"/>
        </w:rPr>
        <w:t xml:space="preserve">    </w:t>
      </w:r>
      <w:r>
        <w:rPr>
          <w:rFonts w:hint="eastAsia"/>
          <w:i w:val="0"/>
          <w:iCs/>
          <w:color w:val="auto"/>
          <w:sz w:val="24"/>
          <w:highlight w:val="none"/>
        </w:rPr>
        <w:t>人，营业收入为</w:t>
      </w:r>
      <w:r>
        <w:rPr>
          <w:rFonts w:hint="eastAsia"/>
          <w:i w:val="0"/>
          <w:iCs/>
          <w:color w:val="auto"/>
          <w:sz w:val="24"/>
          <w:highlight w:val="none"/>
          <w:u w:val="single"/>
          <w:lang w:val="en-US" w:eastAsia="zh-CN"/>
        </w:rPr>
        <w:t xml:space="preserve">    </w:t>
      </w:r>
      <w:r>
        <w:rPr>
          <w:rFonts w:hint="eastAsia"/>
          <w:i w:val="0"/>
          <w:iCs/>
          <w:color w:val="auto"/>
          <w:sz w:val="24"/>
          <w:highlight w:val="none"/>
        </w:rPr>
        <w:t>万元，资产总额为</w:t>
      </w:r>
      <w:r>
        <w:rPr>
          <w:rFonts w:hint="eastAsia"/>
          <w:i w:val="0"/>
          <w:iCs/>
          <w:color w:val="auto"/>
          <w:sz w:val="24"/>
          <w:highlight w:val="none"/>
          <w:u w:val="single"/>
          <w:lang w:val="en-US" w:eastAsia="zh-CN"/>
        </w:rPr>
        <w:t xml:space="preserve">    </w:t>
      </w:r>
      <w:r>
        <w:rPr>
          <w:rFonts w:hint="eastAsia"/>
          <w:i w:val="0"/>
          <w:iCs/>
          <w:color w:val="auto"/>
          <w:sz w:val="24"/>
          <w:highlight w:val="none"/>
        </w:rPr>
        <w:t>万元，属于</w:t>
      </w:r>
      <w:r>
        <w:rPr>
          <w:rFonts w:hint="eastAsia"/>
          <w:i w:val="0"/>
          <w:iCs/>
          <w:color w:val="auto"/>
          <w:sz w:val="24"/>
          <w:highlight w:val="none"/>
          <w:u w:val="single"/>
        </w:rPr>
        <w:t>（中型企业、小型企业、微型企业）</w:t>
      </w:r>
      <w:r>
        <w:rPr>
          <w:rFonts w:hint="eastAsia"/>
          <w:i w:val="0"/>
          <w:iCs/>
          <w:color w:val="auto"/>
          <w:sz w:val="24"/>
          <w:highlight w:val="none"/>
        </w:rPr>
        <w:t>；</w:t>
      </w:r>
    </w:p>
    <w:p w14:paraId="768A76BA">
      <w:pPr>
        <w:numPr>
          <w:ilvl w:val="0"/>
          <w:numId w:val="0"/>
        </w:numPr>
        <w:spacing w:line="500" w:lineRule="exact"/>
        <w:ind w:firstLine="480" w:firstLineChars="200"/>
        <w:jc w:val="both"/>
        <w:rPr>
          <w:rFonts w:hint="eastAsia"/>
          <w:i w:val="0"/>
          <w:iCs/>
          <w:color w:val="auto"/>
          <w:sz w:val="24"/>
          <w:highlight w:val="none"/>
        </w:rPr>
      </w:pPr>
      <w:r>
        <w:rPr>
          <w:rFonts w:hint="eastAsia"/>
          <w:i w:val="0"/>
          <w:iCs/>
          <w:color w:val="auto"/>
          <w:sz w:val="24"/>
          <w:highlight w:val="none"/>
        </w:rPr>
        <w:t>……</w:t>
      </w:r>
    </w:p>
    <w:p w14:paraId="34FA3AC3">
      <w:pPr>
        <w:numPr>
          <w:ilvl w:val="0"/>
          <w:numId w:val="0"/>
        </w:numPr>
        <w:spacing w:line="500" w:lineRule="exact"/>
        <w:ind w:firstLine="480" w:firstLineChars="200"/>
        <w:jc w:val="both"/>
        <w:rPr>
          <w:rFonts w:hint="eastAsia"/>
          <w:i w:val="0"/>
          <w:iCs/>
          <w:color w:val="auto"/>
          <w:sz w:val="24"/>
          <w:highlight w:val="none"/>
        </w:rPr>
      </w:pPr>
      <w:r>
        <w:rPr>
          <w:rFonts w:hint="eastAsia"/>
          <w:i w:val="0"/>
          <w:iCs/>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i w:val="0"/>
          <w:iCs/>
          <w:color w:val="auto"/>
          <w:sz w:val="24"/>
          <w:highlight w:val="none"/>
        </w:rPr>
      </w:pPr>
      <w:r>
        <w:rPr>
          <w:rFonts w:hint="eastAsia"/>
          <w:i w:val="0"/>
          <w:iCs/>
          <w:color w:val="auto"/>
          <w:sz w:val="24"/>
          <w:highlight w:val="none"/>
        </w:rPr>
        <w:t>本企业对上述声明内容的真实性负责。如有虚假，将依法承担相应责任。</w:t>
      </w:r>
    </w:p>
    <w:p w14:paraId="0FE19C0D">
      <w:pPr>
        <w:pStyle w:val="15"/>
        <w:spacing w:beforeAutospacing="0" w:afterAutospacing="0" w:line="0" w:lineRule="atLeast"/>
        <w:ind w:right="720"/>
        <w:jc w:val="both"/>
        <w:rPr>
          <w:i w:val="0"/>
          <w:iCs/>
          <w:color w:val="auto"/>
          <w:highlight w:val="none"/>
        </w:rPr>
      </w:pPr>
      <w:r>
        <w:rPr>
          <w:i w:val="0"/>
          <w:iCs/>
          <w:color w:val="auto"/>
          <w:highlight w:val="none"/>
        </w:rPr>
        <w:t> </w:t>
      </w:r>
    </w:p>
    <w:p w14:paraId="6CD4960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right="180" w:firstLine="360"/>
        <w:jc w:val="right"/>
        <w:textAlignment w:val="auto"/>
        <w:rPr>
          <w:i w:val="0"/>
          <w:iCs/>
          <w:color w:val="auto"/>
          <w:highlight w:val="none"/>
        </w:rPr>
      </w:pPr>
      <w:r>
        <w:rPr>
          <w:rFonts w:hint="eastAsia" w:ascii="宋体" w:hAnsi="宋体" w:eastAsia="宋体" w:cs="宋体"/>
          <w:i w:val="0"/>
          <w:iCs/>
          <w:color w:val="auto"/>
          <w:highlight w:val="none"/>
        </w:rPr>
        <w:t>企业名称（加盖CA电子公章）：</w:t>
      </w:r>
    </w:p>
    <w:p w14:paraId="19405A62">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right="480" w:firstLine="5400"/>
        <w:jc w:val="both"/>
        <w:textAlignment w:val="auto"/>
        <w:rPr>
          <w:i w:val="0"/>
          <w:iCs/>
          <w:color w:val="auto"/>
          <w:highlight w:val="none"/>
        </w:rPr>
      </w:pPr>
      <w:r>
        <w:rPr>
          <w:rFonts w:hint="eastAsia" w:ascii="宋体" w:hAnsi="宋体" w:eastAsia="宋体" w:cs="宋体"/>
          <w:i w:val="0"/>
          <w:iCs/>
          <w:color w:val="auto"/>
          <w:highlight w:val="none"/>
        </w:rPr>
        <w:t>日  期：</w:t>
      </w:r>
    </w:p>
    <w:p w14:paraId="09B20EFD">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240"/>
        <w:jc w:val="both"/>
        <w:textAlignment w:val="auto"/>
        <w:rPr>
          <w:i w:val="0"/>
          <w:iCs/>
          <w:color w:val="auto"/>
          <w:highlight w:val="none"/>
        </w:rPr>
      </w:pPr>
      <w:r>
        <w:rPr>
          <w:i w:val="0"/>
          <w:iCs/>
          <w:color w:val="auto"/>
          <w:highlight w:val="none"/>
        </w:rPr>
        <w:t> </w:t>
      </w:r>
    </w:p>
    <w:p w14:paraId="5FD8B9FE">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i w:val="0"/>
          <w:iCs/>
          <w:color w:val="auto"/>
          <w:highlight w:val="none"/>
        </w:rPr>
      </w:pPr>
      <w:r>
        <w:rPr>
          <w:rFonts w:hint="eastAsia" w:ascii="宋体" w:hAnsi="宋体" w:eastAsia="宋体" w:cs="宋体"/>
          <w:i w:val="0"/>
          <w:iCs/>
          <w:color w:val="auto"/>
          <w:highlight w:val="none"/>
        </w:rPr>
        <w:t>备注1：从业人员、营业收入、资产总额填报上一年度数据，无上一年度数据的新成立企业可不填报。</w:t>
      </w:r>
    </w:p>
    <w:p w14:paraId="4181A3D1">
      <w:pPr>
        <w:pStyle w:val="15"/>
        <w:keepNext w:val="0"/>
        <w:keepLines w:val="0"/>
        <w:pageBreakBefore w:val="0"/>
        <w:widowControl w:val="0"/>
        <w:kinsoku/>
        <w:wordWrap/>
        <w:overflowPunct/>
        <w:topLinePunct w:val="0"/>
        <w:autoSpaceDE/>
        <w:autoSpaceDN/>
        <w:bidi w:val="0"/>
        <w:adjustRightInd/>
        <w:snapToGrid/>
        <w:spacing w:beforeAutospacing="0" w:afterAutospacing="0" w:line="440" w:lineRule="exact"/>
        <w:ind w:firstLine="480"/>
        <w:jc w:val="both"/>
        <w:textAlignment w:val="auto"/>
        <w:rPr>
          <w:i w:val="0"/>
          <w:iCs/>
          <w:color w:val="auto"/>
          <w:highlight w:val="none"/>
        </w:rPr>
      </w:pPr>
      <w:r>
        <w:rPr>
          <w:rFonts w:hint="eastAsia" w:ascii="宋体" w:hAnsi="宋体" w:eastAsia="宋体" w:cs="宋体"/>
          <w:i w:val="0"/>
          <w:iCs/>
          <w:color w:val="auto"/>
          <w:highlight w:val="none"/>
        </w:rPr>
        <w:t>备注2：供应商如不提供此声明函，价格将不做相应扣除</w:t>
      </w:r>
      <w:r>
        <w:rPr>
          <w:rFonts w:hint="eastAsia" w:ascii="宋体" w:hAnsi="宋体" w:eastAsia="宋体" w:cs="宋体"/>
          <w:i w:val="0"/>
          <w:iCs/>
          <w:color w:val="auto"/>
          <w:highlight w:val="none"/>
          <w:lang w:eastAsia="zh-CN"/>
        </w:rPr>
        <w:t>（如项目全面面向中小企业，则资格审查不通过）</w:t>
      </w:r>
      <w:r>
        <w:rPr>
          <w:rFonts w:hint="eastAsia" w:ascii="宋体" w:hAnsi="宋体" w:eastAsia="宋体" w:cs="宋体"/>
          <w:i w:val="0"/>
          <w:iCs/>
          <w:color w:val="auto"/>
          <w:highlight w:val="none"/>
        </w:rPr>
        <w:t>。</w:t>
      </w:r>
    </w:p>
    <w:p w14:paraId="5F737D97">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i w:val="0"/>
          <w:iCs/>
          <w:color w:val="auto"/>
          <w:highlight w:val="none"/>
        </w:rPr>
      </w:pPr>
      <w:r>
        <w:rPr>
          <w:rFonts w:hint="eastAsia" w:ascii="黑体" w:hAnsi="宋体" w:eastAsia="黑体" w:cs="黑体"/>
          <w:b/>
          <w:i w:val="0"/>
          <w:iCs/>
          <w:color w:val="auto"/>
          <w:sz w:val="32"/>
          <w:szCs w:val="32"/>
          <w:highlight w:val="none"/>
        </w:rPr>
        <w:br w:type="page"/>
      </w:r>
      <w:r>
        <w:rPr>
          <w:rFonts w:hint="eastAsia" w:ascii="黑体" w:hAnsi="宋体" w:eastAsia="黑体" w:cs="黑体"/>
          <w:b/>
          <w:i w:val="0"/>
          <w:iCs/>
          <w:color w:val="auto"/>
          <w:sz w:val="32"/>
          <w:szCs w:val="32"/>
          <w:highlight w:val="none"/>
        </w:rPr>
        <w:t> 十、残疾人福利性单位声明函</w:t>
      </w:r>
    </w:p>
    <w:p w14:paraId="46D22EAF">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i w:val="0"/>
          <w:iCs/>
          <w:color w:val="auto"/>
          <w:highlight w:val="none"/>
        </w:rPr>
      </w:pPr>
      <w:r>
        <w:rPr>
          <w:rFonts w:hint="eastAsia" w:ascii="宋体" w:hAnsi="宋体" w:eastAsia="宋体" w:cs="宋体"/>
          <w:i w:val="0"/>
          <w:iCs/>
          <w:color w:val="auto"/>
          <w:highlight w:val="none"/>
        </w:rPr>
        <w:t>本单位郑重声明，根据《财政部 民政部 中国残疾人联合会关于促进残疾人就业政府采购政策的通知》（财库</w:t>
      </w:r>
      <w:r>
        <w:rPr>
          <w:rFonts w:hint="eastAsia" w:ascii="宋体" w:hAnsi="宋体" w:eastAsia="宋体" w:cs="宋体"/>
          <w:i w:val="0"/>
          <w:iCs/>
          <w:color w:val="auto"/>
          <w:highlight w:val="none"/>
          <w:lang w:eastAsia="zh-CN"/>
        </w:rPr>
        <w:t>〔2017〕141号</w:t>
      </w:r>
      <w:r>
        <w:rPr>
          <w:rFonts w:hint="eastAsia" w:ascii="宋体" w:hAnsi="宋体" w:eastAsia="宋体" w:cs="宋体"/>
          <w:i w:val="0"/>
          <w:iCs/>
          <w:color w:val="auto"/>
          <w:highlight w:val="none"/>
        </w:rPr>
        <w:t>）的规定，本单位为符合条件的残疾人福利性单位，且本单位参加______单位的</w:t>
      </w:r>
      <w:r>
        <w:rPr>
          <w:rFonts w:hint="eastAsia" w:ascii="宋体" w:hAnsi="宋体" w:eastAsia="宋体" w:cs="宋体"/>
          <w:i w:val="0"/>
          <w:iCs/>
          <w:color w:val="auto"/>
          <w:highlight w:val="none"/>
          <w:lang w:val="en-US" w:eastAsia="zh-CN"/>
        </w:rPr>
        <w:t>磋商</w:t>
      </w:r>
      <w:r>
        <w:rPr>
          <w:rFonts w:hint="eastAsia" w:ascii="宋体" w:hAnsi="宋体" w:eastAsia="宋体" w:cs="宋体"/>
          <w:i w:val="0"/>
          <w:iCs/>
          <w:color w:val="auto"/>
          <w:highlight w:val="none"/>
        </w:rPr>
        <w:t>文件编号为</w:t>
      </w:r>
      <w:r>
        <w:rPr>
          <w:rFonts w:hint="eastAsia" w:ascii="宋体" w:hAnsi="宋体" w:eastAsia="宋体" w:cs="宋体"/>
          <w:i w:val="0"/>
          <w:iCs/>
          <w:color w:val="auto"/>
          <w:highlight w:val="none"/>
          <w:u w:val="single"/>
          <w:lang w:val="en-US" w:eastAsia="zh-CN"/>
        </w:rPr>
        <w:t xml:space="preserve"> </w:t>
      </w:r>
      <w:r>
        <w:rPr>
          <w:rFonts w:hint="eastAsia" w:ascii="宋体" w:hAnsi="宋体" w:eastAsia="宋体" w:cs="宋体"/>
          <w:i w:val="0"/>
          <w:iCs/>
          <w:color w:val="auto"/>
          <w:highlight w:val="none"/>
          <w:u w:val="single"/>
        </w:rPr>
        <w:t>JSZC-320902-KYJS-C2026-0001</w:t>
      </w:r>
      <w:r>
        <w:rPr>
          <w:rFonts w:hint="eastAsia" w:ascii="宋体" w:hAnsi="宋体" w:eastAsia="宋体" w:cs="宋体"/>
          <w:i w:val="0"/>
          <w:iCs/>
          <w:color w:val="auto"/>
          <w:highlight w:val="none"/>
        </w:rPr>
        <w:t>的</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rPr>
        <w:t>项目采购活动</w:t>
      </w:r>
      <w:r>
        <w:rPr>
          <w:rFonts w:hint="eastAsia" w:ascii="宋体" w:hAnsi="宋体" w:cs="宋体"/>
          <w:color w:val="000000" w:themeColor="text1"/>
          <w:sz w:val="24"/>
          <w14:textFill>
            <w14:solidFill>
              <w14:schemeClr w14:val="tx1"/>
            </w14:solidFill>
          </w14:textFill>
        </w:rPr>
        <w:t>由本单位提供服务</w:t>
      </w:r>
      <w:r>
        <w:rPr>
          <w:rFonts w:hint="eastAsia" w:ascii="宋体" w:hAnsi="宋体" w:eastAsia="宋体" w:cs="宋体"/>
          <w:i w:val="0"/>
          <w:iCs/>
          <w:color w:val="auto"/>
          <w:highlight w:val="none"/>
        </w:rPr>
        <w:t>。</w:t>
      </w:r>
    </w:p>
    <w:p w14:paraId="3AFA6EEE">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i w:val="0"/>
          <w:iCs/>
          <w:color w:val="auto"/>
          <w:highlight w:val="none"/>
        </w:rPr>
      </w:pPr>
      <w:r>
        <w:rPr>
          <w:rFonts w:hint="eastAsia" w:ascii="宋体" w:hAnsi="宋体" w:eastAsia="宋体" w:cs="宋体"/>
          <w:i w:val="0"/>
          <w:iCs/>
          <w:color w:val="auto"/>
          <w:highlight w:val="none"/>
        </w:rPr>
        <w:t>本单位对上述声明的真实性负责。如有虚假，将依法承担相应责任。</w:t>
      </w:r>
    </w:p>
    <w:p w14:paraId="79207B58">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i w:val="0"/>
          <w:iCs/>
          <w:color w:val="auto"/>
          <w:highlight w:val="none"/>
        </w:rPr>
      </w:pPr>
      <w:r>
        <w:rPr>
          <w:i w:val="0"/>
          <w:iCs/>
          <w:color w:val="auto"/>
          <w:highlight w:val="none"/>
        </w:rPr>
        <w:t> </w:t>
      </w:r>
    </w:p>
    <w:p w14:paraId="748D2CB6">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jc w:val="both"/>
        <w:textAlignment w:val="auto"/>
        <w:rPr>
          <w:i w:val="0"/>
          <w:iCs/>
          <w:color w:val="auto"/>
          <w:highlight w:val="none"/>
        </w:rPr>
      </w:pPr>
      <w:r>
        <w:rPr>
          <w:rFonts w:hint="eastAsia" w:ascii="宋体" w:hAnsi="宋体" w:eastAsia="宋体" w:cs="宋体"/>
          <w:i w:val="0"/>
          <w:iCs/>
          <w:color w:val="auto"/>
          <w:highlight w:val="none"/>
        </w:rPr>
        <w:t>（备注：成交供应商为残疾人福利单位的，此声明函将随成交结果同时公告，接受社会监督</w:t>
      </w:r>
      <w:r>
        <w:rPr>
          <w:rFonts w:hint="eastAsia" w:ascii="宋体" w:hAnsi="宋体" w:eastAsia="宋体" w:cs="宋体"/>
          <w:i w:val="0"/>
          <w:iCs/>
          <w:color w:val="auto"/>
          <w:highlight w:val="none"/>
          <w:lang w:eastAsia="zh-CN"/>
        </w:rPr>
        <w:t>。</w:t>
      </w:r>
      <w:r>
        <w:rPr>
          <w:rFonts w:hint="eastAsia" w:ascii="宋体" w:hAnsi="宋体" w:eastAsia="宋体" w:cs="宋体"/>
          <w:i w:val="0"/>
          <w:iCs/>
          <w:color w:val="auto"/>
          <w:highlight w:val="none"/>
        </w:rPr>
        <w:t>）</w:t>
      </w:r>
    </w:p>
    <w:p w14:paraId="20A8B68E">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624"/>
        <w:jc w:val="both"/>
        <w:textAlignment w:val="auto"/>
        <w:rPr>
          <w:i w:val="0"/>
          <w:iCs/>
          <w:color w:val="auto"/>
          <w:highlight w:val="none"/>
        </w:rPr>
      </w:pPr>
      <w:r>
        <w:rPr>
          <w:i w:val="0"/>
          <w:iCs/>
          <w:color w:val="auto"/>
          <w:highlight w:val="none"/>
        </w:rPr>
        <w:t> </w:t>
      </w:r>
    </w:p>
    <w:p w14:paraId="64B7C548">
      <w:pPr>
        <w:pStyle w:val="15"/>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624"/>
        <w:jc w:val="center"/>
        <w:textAlignment w:val="auto"/>
        <w:rPr>
          <w:i w:val="0"/>
          <w:iCs/>
          <w:color w:val="auto"/>
          <w:highlight w:val="none"/>
        </w:rPr>
      </w:pPr>
      <w:r>
        <w:rPr>
          <w:rFonts w:ascii="仿宋_GB2312" w:eastAsia="仿宋_GB2312" w:cs="仿宋_GB2312"/>
          <w:i w:val="0"/>
          <w:iCs/>
          <w:color w:val="auto"/>
          <w:sz w:val="30"/>
          <w:szCs w:val="30"/>
          <w:highlight w:val="none"/>
        </w:rPr>
        <w:t xml:space="preserve">             </w:t>
      </w:r>
      <w:r>
        <w:rPr>
          <w:rFonts w:hint="eastAsia" w:ascii="宋体" w:hAnsi="宋体" w:eastAsia="宋体" w:cs="宋体"/>
          <w:i w:val="0"/>
          <w:iCs/>
          <w:color w:val="auto"/>
          <w:highlight w:val="none"/>
        </w:rPr>
        <w:t>       供应商全称（加盖CA电子公章）：</w:t>
      </w:r>
    </w:p>
    <w:p w14:paraId="12759A72">
      <w:pPr>
        <w:pStyle w:val="15"/>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500" w:lineRule="exact"/>
        <w:ind w:right="1560" w:firstLine="480"/>
        <w:jc w:val="center"/>
        <w:textAlignment w:val="auto"/>
        <w:rPr>
          <w:i w:val="0"/>
          <w:iCs/>
          <w:color w:val="auto"/>
          <w:highlight w:val="none"/>
        </w:rPr>
      </w:pPr>
      <w:r>
        <w:rPr>
          <w:rFonts w:hint="eastAsia" w:ascii="宋体" w:hAnsi="宋体" w:eastAsia="宋体" w:cs="宋体"/>
          <w:i w:val="0"/>
          <w:iCs/>
          <w:color w:val="auto"/>
          <w:highlight w:val="none"/>
        </w:rPr>
        <w:t>        日  期：</w:t>
      </w:r>
    </w:p>
    <w:p w14:paraId="605AB47E">
      <w:pPr>
        <w:pStyle w:val="15"/>
        <w:keepNext w:val="0"/>
        <w:keepLines w:val="0"/>
        <w:pageBreakBefore w:val="0"/>
        <w:widowControl w:val="0"/>
        <w:kinsoku/>
        <w:wordWrap/>
        <w:overflowPunct/>
        <w:topLinePunct w:val="0"/>
        <w:autoSpaceDE/>
        <w:autoSpaceDN/>
        <w:bidi w:val="0"/>
        <w:adjustRightInd/>
        <w:snapToGrid/>
        <w:spacing w:beforeAutospacing="0" w:afterAutospacing="0" w:line="500" w:lineRule="exact"/>
        <w:jc w:val="center"/>
        <w:textAlignment w:val="auto"/>
        <w:rPr>
          <w:i w:val="0"/>
          <w:iCs/>
          <w:color w:val="auto"/>
          <w:highlight w:val="none"/>
        </w:rPr>
      </w:pPr>
      <w:r>
        <w:rPr>
          <w:i w:val="0"/>
          <w:iCs/>
          <w:color w:val="auto"/>
          <w:highlight w:val="none"/>
        </w:rPr>
        <w:t> </w:t>
      </w:r>
    </w:p>
    <w:p w14:paraId="2DAC0C71">
      <w:pPr>
        <w:pStyle w:val="15"/>
        <w:spacing w:beforeAutospacing="0" w:afterAutospacing="0" w:line="0" w:lineRule="atLeast"/>
        <w:jc w:val="center"/>
        <w:rPr>
          <w:i w:val="0"/>
          <w:iCs/>
          <w:color w:val="auto"/>
          <w:highlight w:val="none"/>
        </w:rPr>
      </w:pPr>
      <w:r>
        <w:rPr>
          <w:i w:val="0"/>
          <w:iCs/>
          <w:color w:val="auto"/>
          <w:highlight w:val="none"/>
        </w:rPr>
        <w:t> </w:t>
      </w:r>
    </w:p>
    <w:p w14:paraId="2F354FC5">
      <w:pPr>
        <w:pStyle w:val="15"/>
        <w:spacing w:beforeAutospacing="0" w:afterAutospacing="0" w:line="0" w:lineRule="atLeast"/>
        <w:jc w:val="center"/>
        <w:rPr>
          <w:i w:val="0"/>
          <w:iCs/>
          <w:color w:val="auto"/>
          <w:highlight w:val="none"/>
        </w:rPr>
      </w:pPr>
      <w:r>
        <w:rPr>
          <w:i w:val="0"/>
          <w:iCs/>
          <w:color w:val="auto"/>
          <w:highlight w:val="none"/>
        </w:rPr>
        <w:t> </w:t>
      </w:r>
    </w:p>
    <w:p w14:paraId="71DA123F">
      <w:pPr>
        <w:pStyle w:val="15"/>
        <w:spacing w:beforeAutospacing="0" w:afterAutospacing="0" w:line="0" w:lineRule="atLeast"/>
        <w:jc w:val="center"/>
        <w:rPr>
          <w:i w:val="0"/>
          <w:iCs/>
          <w:color w:val="auto"/>
          <w:highlight w:val="none"/>
        </w:rPr>
      </w:pPr>
      <w:r>
        <w:rPr>
          <w:i w:val="0"/>
          <w:iCs/>
          <w:color w:val="auto"/>
          <w:highlight w:val="none"/>
        </w:rPr>
        <w:t> </w:t>
      </w:r>
    </w:p>
    <w:p w14:paraId="1A9A3829">
      <w:pPr>
        <w:pStyle w:val="15"/>
        <w:spacing w:beforeAutospacing="0" w:afterAutospacing="0" w:line="0" w:lineRule="atLeast"/>
        <w:jc w:val="center"/>
        <w:rPr>
          <w:i w:val="0"/>
          <w:iCs/>
          <w:color w:val="auto"/>
          <w:highlight w:val="none"/>
        </w:rPr>
      </w:pPr>
      <w:r>
        <w:rPr>
          <w:i w:val="0"/>
          <w:iCs/>
          <w:color w:val="auto"/>
          <w:highlight w:val="none"/>
        </w:rPr>
        <w:t> </w:t>
      </w:r>
    </w:p>
    <w:p w14:paraId="35CA2509">
      <w:pPr>
        <w:pStyle w:val="15"/>
        <w:spacing w:beforeAutospacing="0" w:afterAutospacing="0" w:line="0" w:lineRule="atLeast"/>
        <w:jc w:val="center"/>
        <w:rPr>
          <w:i w:val="0"/>
          <w:iCs/>
          <w:color w:val="auto"/>
          <w:highlight w:val="none"/>
        </w:rPr>
      </w:pPr>
      <w:r>
        <w:rPr>
          <w:i w:val="0"/>
          <w:iCs/>
          <w:color w:val="auto"/>
          <w:highlight w:val="none"/>
        </w:rPr>
        <w:t> </w:t>
      </w:r>
    </w:p>
    <w:p w14:paraId="1F4B7953">
      <w:pPr>
        <w:pStyle w:val="15"/>
        <w:spacing w:beforeAutospacing="0" w:afterAutospacing="0" w:line="0" w:lineRule="atLeast"/>
        <w:jc w:val="center"/>
        <w:rPr>
          <w:i w:val="0"/>
          <w:iCs/>
          <w:color w:val="auto"/>
          <w:highlight w:val="none"/>
        </w:rPr>
      </w:pPr>
      <w:r>
        <w:rPr>
          <w:i w:val="0"/>
          <w:iCs/>
          <w:color w:val="auto"/>
          <w:highlight w:val="none"/>
        </w:rPr>
        <w:t> </w:t>
      </w:r>
    </w:p>
    <w:p w14:paraId="5C92A01D">
      <w:pPr>
        <w:pStyle w:val="15"/>
        <w:spacing w:beforeAutospacing="0" w:afterAutospacing="0" w:line="0" w:lineRule="atLeast"/>
        <w:jc w:val="center"/>
        <w:rPr>
          <w:i w:val="0"/>
          <w:iCs/>
          <w:color w:val="auto"/>
          <w:highlight w:val="none"/>
        </w:rPr>
      </w:pPr>
      <w:r>
        <w:rPr>
          <w:i w:val="0"/>
          <w:iCs/>
          <w:color w:val="auto"/>
          <w:highlight w:val="none"/>
        </w:rPr>
        <w:t> </w:t>
      </w:r>
    </w:p>
    <w:p w14:paraId="1838436E">
      <w:pPr>
        <w:pStyle w:val="15"/>
        <w:spacing w:beforeAutospacing="0" w:afterAutospacing="0" w:line="0" w:lineRule="atLeast"/>
        <w:jc w:val="center"/>
        <w:rPr>
          <w:i w:val="0"/>
          <w:iCs/>
          <w:color w:val="auto"/>
          <w:highlight w:val="none"/>
        </w:rPr>
      </w:pPr>
      <w:r>
        <w:rPr>
          <w:i w:val="0"/>
          <w:iCs/>
          <w:color w:val="auto"/>
          <w:highlight w:val="none"/>
        </w:rPr>
        <w:t> </w:t>
      </w:r>
    </w:p>
    <w:p w14:paraId="27D03E28">
      <w:pPr>
        <w:pStyle w:val="15"/>
        <w:spacing w:beforeAutospacing="0" w:afterAutospacing="0" w:line="0" w:lineRule="atLeast"/>
        <w:jc w:val="center"/>
        <w:rPr>
          <w:i w:val="0"/>
          <w:iCs/>
          <w:color w:val="auto"/>
          <w:highlight w:val="none"/>
        </w:rPr>
      </w:pPr>
    </w:p>
    <w:p w14:paraId="39F718F5">
      <w:pPr>
        <w:rPr>
          <w:rFonts w:hint="eastAsia" w:ascii="黑体" w:hAnsi="黑体" w:eastAsia="黑体" w:cs="黑体"/>
          <w:b/>
          <w:i w:val="0"/>
          <w:iCs/>
          <w:color w:val="FF0000"/>
          <w:sz w:val="32"/>
          <w:szCs w:val="32"/>
          <w:lang w:val="en-US" w:eastAsia="zh-CN"/>
        </w:rPr>
      </w:pPr>
      <w:r>
        <w:rPr>
          <w:rFonts w:hint="eastAsia" w:ascii="黑体" w:hAnsi="黑体" w:eastAsia="黑体" w:cs="黑体"/>
          <w:b/>
          <w:i w:val="0"/>
          <w:iCs/>
          <w:color w:val="FF0000"/>
          <w:sz w:val="32"/>
          <w:szCs w:val="32"/>
          <w:lang w:val="en-US" w:eastAsia="zh-CN"/>
        </w:rPr>
        <w:br w:type="page"/>
      </w:r>
    </w:p>
    <w:p w14:paraId="69BEAF0B">
      <w:pPr>
        <w:spacing w:line="360" w:lineRule="auto"/>
        <w:jc w:val="center"/>
        <w:rPr>
          <w:rFonts w:hint="eastAsia" w:ascii="黑体" w:hAnsi="宋体" w:eastAsia="黑体" w:cs="黑体"/>
          <w:b/>
          <w:i w:val="0"/>
          <w:iCs/>
          <w:color w:val="auto"/>
          <w:sz w:val="32"/>
          <w:szCs w:val="32"/>
          <w:highlight w:val="none"/>
        </w:rPr>
      </w:pPr>
      <w:r>
        <w:rPr>
          <w:rFonts w:hint="eastAsia" w:ascii="黑体" w:hAnsi="宋体" w:eastAsia="黑体" w:cs="黑体"/>
          <w:b/>
          <w:i w:val="0"/>
          <w:iCs/>
          <w:color w:val="auto"/>
          <w:sz w:val="32"/>
          <w:szCs w:val="32"/>
          <w:highlight w:val="none"/>
        </w:rPr>
        <w:t>十</w:t>
      </w:r>
      <w:r>
        <w:rPr>
          <w:rFonts w:hint="eastAsia" w:ascii="黑体" w:hAnsi="宋体" w:eastAsia="黑体" w:cs="黑体"/>
          <w:b/>
          <w:i w:val="0"/>
          <w:iCs/>
          <w:color w:val="auto"/>
          <w:sz w:val="32"/>
          <w:szCs w:val="32"/>
          <w:highlight w:val="none"/>
          <w:lang w:val="en-US" w:eastAsia="zh-CN"/>
        </w:rPr>
        <w:t>一</w:t>
      </w:r>
      <w:r>
        <w:rPr>
          <w:rFonts w:hint="eastAsia" w:ascii="黑体" w:hAnsi="宋体" w:eastAsia="黑体" w:cs="黑体"/>
          <w:b/>
          <w:i w:val="0"/>
          <w:iCs/>
          <w:color w:val="auto"/>
          <w:sz w:val="32"/>
          <w:szCs w:val="32"/>
          <w:highlight w:val="none"/>
        </w:rPr>
        <w:t>磋商报价表</w:t>
      </w:r>
    </w:p>
    <w:p w14:paraId="5AA93C01">
      <w:pPr>
        <w:spacing w:line="276" w:lineRule="auto"/>
        <w:ind w:firstLine="482"/>
        <w:rPr>
          <w:rFonts w:hint="eastAsia" w:ascii="宋体" w:hAnsi="宋体" w:cs="宋体"/>
          <w:b/>
          <w:color w:val="000000" w:themeColor="text1"/>
          <w:sz w:val="22"/>
          <w:szCs w:val="22"/>
          <w14:textFill>
            <w14:solidFill>
              <w14:schemeClr w14:val="tx1"/>
            </w14:solidFill>
          </w14:textFill>
        </w:rPr>
      </w:pPr>
    </w:p>
    <w:p w14:paraId="4C54ADE6">
      <w:pPr>
        <w:spacing w:line="276" w:lineRule="auto"/>
        <w:ind w:firstLine="482"/>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货币单位：人民币元</w:t>
      </w:r>
    </w:p>
    <w:p w14:paraId="7B87357D">
      <w:pPr>
        <w:spacing w:line="276" w:lineRule="auto"/>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项目编号：JSZC-320902-KYJS-C2026-0001</w:t>
      </w:r>
      <w:r>
        <w:rPr>
          <w:rFonts w:hint="eastAsia" w:ascii="宋体" w:hAnsi="宋体" w:cs="宋体"/>
          <w:b/>
          <w:color w:val="000000" w:themeColor="text1"/>
          <w:sz w:val="24"/>
          <w:szCs w:val="24"/>
          <w:lang w:val="en-US" w:eastAsia="zh-CN"/>
          <w14:textFill>
            <w14:solidFill>
              <w14:schemeClr w14:val="tx1"/>
            </w14:solidFill>
          </w14:textFill>
        </w:rPr>
        <w:t xml:space="preserve"> </w:t>
      </w:r>
    </w:p>
    <w:p w14:paraId="2BC545F1">
      <w:pPr>
        <w:spacing w:line="276" w:lineRule="auto"/>
        <w:ind w:firstLine="482"/>
        <w:rPr>
          <w:rFonts w:ascii="宋体" w:hAnsi="宋体" w:cs="宋体"/>
          <w:b/>
          <w:color w:val="000000" w:themeColor="text1"/>
          <w:sz w:val="22"/>
          <w:szCs w:val="22"/>
          <w14:textFill>
            <w14:solidFill>
              <w14:schemeClr w14:val="tx1"/>
            </w14:solidFill>
          </w14:textFill>
        </w:rPr>
      </w:pPr>
    </w:p>
    <w:tbl>
      <w:tblPr>
        <w:tblStyle w:val="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80"/>
        <w:gridCol w:w="2228"/>
        <w:gridCol w:w="3154"/>
      </w:tblGrid>
      <w:tr w14:paraId="04F65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2225F2CE">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项目名称</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13163404">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项目内容</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0362E9BD">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总价（小写）</w:t>
            </w:r>
          </w:p>
        </w:tc>
      </w:tr>
      <w:tr w14:paraId="3A099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4069F97E">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zh-CN"/>
                <w14:textFill>
                  <w14:solidFill>
                    <w14:schemeClr w14:val="tx1"/>
                  </w14:solidFill>
                </w14:textFill>
              </w:rPr>
              <w:t>盐东镇农村公路中次差路段大中修工程</w:t>
            </w:r>
          </w:p>
        </w:tc>
        <w:tc>
          <w:tcPr>
            <w:tcW w:w="2228" w:type="dxa"/>
            <w:tcBorders>
              <w:top w:val="single" w:color="000000" w:sz="4" w:space="0"/>
              <w:left w:val="single" w:color="000000" w:sz="4" w:space="0"/>
              <w:bottom w:val="single" w:color="000000" w:sz="4" w:space="0"/>
              <w:right w:val="single" w:color="000000" w:sz="4" w:space="0"/>
            </w:tcBorders>
            <w:noWrap w:val="0"/>
            <w:vAlign w:val="center"/>
          </w:tcPr>
          <w:p w14:paraId="15ADDBFE">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en-US"/>
                <w14:textFill>
                  <w14:solidFill>
                    <w14:schemeClr w14:val="tx1"/>
                  </w14:solidFill>
                </w14:textFill>
              </w:rPr>
              <w:t>详见</w:t>
            </w:r>
            <w:r>
              <w:rPr>
                <w:rFonts w:hint="eastAsia" w:ascii="宋体" w:hAnsi="宋体" w:cs="宋体"/>
                <w:color w:val="000000" w:themeColor="text1"/>
                <w:sz w:val="24"/>
                <w:szCs w:val="22"/>
                <w14:textFill>
                  <w14:solidFill>
                    <w14:schemeClr w14:val="tx1"/>
                  </w14:solidFill>
                </w14:textFill>
              </w:rPr>
              <w:t>响应</w:t>
            </w:r>
            <w:r>
              <w:rPr>
                <w:rFonts w:hint="eastAsia" w:ascii="宋体" w:hAnsi="宋体" w:cs="宋体"/>
                <w:color w:val="000000" w:themeColor="text1"/>
                <w:sz w:val="24"/>
                <w:szCs w:val="22"/>
                <w:lang w:eastAsia="en-US"/>
                <w14:textFill>
                  <w14:solidFill>
                    <w14:schemeClr w14:val="tx1"/>
                  </w14:solidFill>
                </w14:textFill>
              </w:rPr>
              <w:t>文件</w:t>
            </w:r>
          </w:p>
        </w:tc>
        <w:tc>
          <w:tcPr>
            <w:tcW w:w="3154" w:type="dxa"/>
            <w:tcBorders>
              <w:top w:val="single" w:color="000000" w:sz="4" w:space="0"/>
              <w:left w:val="single" w:color="000000" w:sz="4" w:space="0"/>
              <w:bottom w:val="single" w:color="000000" w:sz="4" w:space="0"/>
              <w:right w:val="single" w:color="000000" w:sz="4" w:space="0"/>
            </w:tcBorders>
            <w:noWrap w:val="0"/>
            <w:vAlign w:val="center"/>
          </w:tcPr>
          <w:p w14:paraId="08B43DA6">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           </w:t>
            </w:r>
            <w:r>
              <w:rPr>
                <w:rFonts w:hint="eastAsia" w:ascii="宋体" w:hAnsi="宋体" w:cs="宋体"/>
                <w:color w:val="000000" w:themeColor="text1"/>
                <w:sz w:val="24"/>
                <w:szCs w:val="22"/>
                <w:lang w:eastAsia="en-US"/>
                <w14:textFill>
                  <w14:solidFill>
                    <w14:schemeClr w14:val="tx1"/>
                  </w14:solidFill>
                </w14:textFill>
              </w:rPr>
              <w:t>元</w:t>
            </w:r>
          </w:p>
        </w:tc>
      </w:tr>
      <w:tr w14:paraId="0F6DC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tcBorders>
              <w:top w:val="single" w:color="000000" w:sz="4" w:space="0"/>
              <w:left w:val="single" w:color="000000" w:sz="4" w:space="0"/>
              <w:bottom w:val="single" w:color="000000" w:sz="4" w:space="0"/>
              <w:right w:val="single" w:color="000000" w:sz="4" w:space="0"/>
            </w:tcBorders>
            <w:noWrap w:val="0"/>
            <w:vAlign w:val="center"/>
          </w:tcPr>
          <w:p w14:paraId="6049426F">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en-US"/>
                <w14:textFill>
                  <w14:solidFill>
                    <w14:schemeClr w14:val="tx1"/>
                  </w14:solidFill>
                </w14:textFill>
              </w:rPr>
              <w:t>总价（大写）：</w:t>
            </w:r>
          </w:p>
        </w:tc>
        <w:tc>
          <w:tcPr>
            <w:tcW w:w="5382" w:type="dxa"/>
            <w:gridSpan w:val="2"/>
            <w:tcBorders>
              <w:top w:val="single" w:color="000000" w:sz="4" w:space="0"/>
              <w:left w:val="single" w:color="000000" w:sz="4" w:space="0"/>
              <w:bottom w:val="single" w:color="000000" w:sz="4" w:space="0"/>
              <w:right w:val="single" w:color="000000" w:sz="4" w:space="0"/>
            </w:tcBorders>
            <w:noWrap w:val="0"/>
            <w:vAlign w:val="center"/>
          </w:tcPr>
          <w:p w14:paraId="37E0F05F">
            <w:pPr>
              <w:jc w:val="center"/>
              <w:rPr>
                <w:rFonts w:ascii="宋体" w:hAnsi="宋体" w:cs="宋体"/>
                <w:color w:val="000000" w:themeColor="text1"/>
                <w:sz w:val="24"/>
                <w:szCs w:val="22"/>
                <w14:textFill>
                  <w14:solidFill>
                    <w14:schemeClr w14:val="tx1"/>
                  </w14:solidFill>
                </w14:textFill>
              </w:rPr>
            </w:pPr>
          </w:p>
        </w:tc>
      </w:tr>
    </w:tbl>
    <w:p w14:paraId="71D869AF">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报价说明：</w:t>
      </w:r>
    </w:p>
    <w:p w14:paraId="3940E6FE">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1、报价包括完成项目的所有费用。采购人不再支付报价以外的任何费用。</w:t>
      </w:r>
    </w:p>
    <w:p w14:paraId="2880C08D">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2、报价以总价为准，大小写不一致以大写为准；</w:t>
      </w:r>
    </w:p>
    <w:p w14:paraId="40135AE4">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3、偏离说明：详见《偏离表》；</w:t>
      </w:r>
    </w:p>
    <w:p w14:paraId="706633D0">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4、如最后报价未列明单价，则最后所报各项单价计算方法为：（最后报价/ 最初报价）* 各项最初报价的单价。</w:t>
      </w:r>
    </w:p>
    <w:p w14:paraId="551D7218">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供应商（加盖CA电子公章）：</w:t>
      </w:r>
    </w:p>
    <w:p w14:paraId="4D3C2144">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0895B2E3">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343199B3">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1699588F">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2EAD5651">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36909EFC">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08CFC7B3">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6F11F18A">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46472678">
      <w:pPr>
        <w:pStyle w:val="15"/>
        <w:spacing w:beforeAutospacing="0" w:afterAutospacing="0" w:line="0" w:lineRule="atLeast"/>
        <w:jc w:val="center"/>
        <w:rPr>
          <w:rFonts w:hint="eastAsia" w:ascii="黑体" w:hAnsi="宋体" w:eastAsia="黑体" w:cs="黑体"/>
          <w:b/>
          <w:i w:val="0"/>
          <w:iCs/>
          <w:color w:val="auto"/>
          <w:sz w:val="32"/>
          <w:szCs w:val="32"/>
          <w:highlight w:val="none"/>
          <w:lang w:val="en-US" w:eastAsia="zh-CN"/>
        </w:rPr>
      </w:pPr>
    </w:p>
    <w:p w14:paraId="1977D9B0">
      <w:pPr>
        <w:pStyle w:val="15"/>
        <w:spacing w:beforeAutospacing="0" w:afterAutospacing="0" w:line="0" w:lineRule="atLeast"/>
        <w:jc w:val="both"/>
        <w:rPr>
          <w:rFonts w:hint="eastAsia" w:ascii="黑体" w:hAnsi="宋体" w:eastAsia="黑体" w:cs="黑体"/>
          <w:b/>
          <w:i w:val="0"/>
          <w:iCs/>
          <w:color w:val="auto"/>
          <w:sz w:val="32"/>
          <w:szCs w:val="32"/>
          <w:highlight w:val="none"/>
          <w:lang w:val="en-US" w:eastAsia="zh-CN"/>
        </w:rPr>
      </w:pPr>
    </w:p>
    <w:p w14:paraId="4F9A1293">
      <w:pPr>
        <w:spacing w:line="360" w:lineRule="auto"/>
        <w:jc w:val="center"/>
        <w:rPr>
          <w:rFonts w:hint="eastAsia" w:ascii="黑体" w:hAnsi="宋体" w:eastAsia="黑体" w:cs="黑体"/>
          <w:b/>
          <w:i w:val="0"/>
          <w:iCs/>
          <w:color w:val="auto"/>
          <w:sz w:val="32"/>
          <w:szCs w:val="32"/>
          <w:highlight w:val="none"/>
          <w:lang w:val="en-US" w:eastAsia="zh-CN"/>
        </w:rPr>
      </w:pPr>
      <w:r>
        <w:rPr>
          <w:rFonts w:hint="eastAsia" w:ascii="黑体" w:hAnsi="宋体" w:eastAsia="黑体" w:cs="黑体"/>
          <w:b/>
          <w:i w:val="0"/>
          <w:iCs/>
          <w:color w:val="auto"/>
          <w:sz w:val="32"/>
          <w:szCs w:val="32"/>
          <w:highlight w:val="none"/>
          <w:lang w:val="en-US" w:eastAsia="zh-CN"/>
        </w:rPr>
        <w:t>十二</w:t>
      </w:r>
      <w:r>
        <w:rPr>
          <w:rFonts w:hint="eastAsia" w:ascii="黑体" w:hAnsi="宋体" w:eastAsia="黑体" w:cs="黑体"/>
          <w:b/>
          <w:i w:val="0"/>
          <w:iCs/>
          <w:color w:val="auto"/>
          <w:sz w:val="32"/>
          <w:szCs w:val="32"/>
          <w:highlight w:val="none"/>
        </w:rPr>
        <w:t>、</w:t>
      </w:r>
      <w:r>
        <w:rPr>
          <w:rFonts w:hint="eastAsia" w:ascii="黑体" w:hAnsi="宋体" w:eastAsia="黑体" w:cs="黑体"/>
          <w:b/>
          <w:i w:val="0"/>
          <w:iCs/>
          <w:color w:val="auto"/>
          <w:sz w:val="32"/>
          <w:szCs w:val="32"/>
          <w:highlight w:val="none"/>
          <w:lang w:val="en-US" w:eastAsia="zh-CN"/>
        </w:rPr>
        <w:t>已标价的工程量清单报价表</w:t>
      </w:r>
    </w:p>
    <w:p w14:paraId="019306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0"/>
        <w:jc w:val="both"/>
        <w:textAlignment w:val="auto"/>
        <w:rPr>
          <w:color w:val="000000" w:themeColor="text1"/>
          <w14:textFill>
            <w14:solidFill>
              <w14:schemeClr w14:val="tx1"/>
            </w14:solidFill>
          </w14:textFill>
        </w:rPr>
      </w:pPr>
      <w:r>
        <w:rPr>
          <w:rFonts w:ascii="宋体" w:hAnsi="宋体" w:eastAsia="宋体" w:cs="宋体"/>
          <w:color w:val="000000" w:themeColor="text1"/>
          <w:sz w:val="21"/>
          <w14:textFill>
            <w14:solidFill>
              <w14:schemeClr w14:val="tx1"/>
            </w14:solidFill>
          </w14:textFill>
        </w:rPr>
        <w:t> </w:t>
      </w:r>
      <w:r>
        <w:rPr>
          <w:rFonts w:hint="eastAsia" w:ascii="宋体" w:hAnsi="宋体" w:eastAsia="宋体" w:cs="宋体"/>
          <w:color w:val="000000" w:themeColor="text1"/>
          <w:sz w:val="24"/>
          <w:szCs w:val="24"/>
          <w14:textFill>
            <w14:solidFill>
              <w14:schemeClr w14:val="tx1"/>
            </w14:solidFill>
          </w14:textFill>
        </w:rPr>
        <w:t>应附：投标报价表、工程量清单表、中标后提交与已标价工程量清单一致的软件版造价文件，已标价工程量清单的格式由磋商供应商根据软件格式填入，但内容必须齐全。工程量清单表中列明的所有需要填写的单价和合价，磋商供应商均应填写，未填写单价和合价，视为此项费用已包含在工程量清单的其他单价和合价中。</w:t>
      </w:r>
    </w:p>
    <w:p w14:paraId="47744C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80"/>
        <w:jc w:val="both"/>
        <w:textAlignment w:val="auto"/>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价格构成或报价要求：</w:t>
      </w:r>
    </w:p>
    <w:p w14:paraId="0628E4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80"/>
        <w:jc w:val="both"/>
        <w:textAlignment w:val="auto"/>
        <w:rPr>
          <w:color w:val="000000" w:themeColor="text1"/>
          <w14:textFill>
            <w14:solidFill>
              <w14:schemeClr w14:val="tx1"/>
            </w14:solidFill>
          </w14:textFill>
        </w:rPr>
      </w:pPr>
      <w:r>
        <w:rPr>
          <w:rFonts w:ascii="宋体" w:hAnsi="宋体" w:eastAsia="宋体" w:cs="宋体"/>
          <w:color w:val="000000" w:themeColor="text1"/>
          <w:sz w:val="24"/>
          <w14:textFill>
            <w14:solidFill>
              <w14:schemeClr w14:val="tx1"/>
            </w14:solidFill>
          </w14:textFill>
        </w:rPr>
        <w:t>1、该报价非本次磋商中的最后报价。</w:t>
      </w:r>
    </w:p>
    <w:p w14:paraId="1076EA8B">
      <w:pPr>
        <w:spacing w:line="360" w:lineRule="auto"/>
        <w:jc w:val="center"/>
        <w:rPr>
          <w:rFonts w:ascii="宋体" w:hAnsi="宋体" w:cs="宋体"/>
          <w:b/>
          <w:bCs/>
          <w:color w:val="000000" w:themeColor="text1"/>
          <w:sz w:val="24"/>
          <w:szCs w:val="24"/>
          <w14:textFill>
            <w14:solidFill>
              <w14:schemeClr w14:val="tx1"/>
            </w14:solidFill>
          </w14:textFill>
        </w:rPr>
      </w:pPr>
    </w:p>
    <w:p w14:paraId="72F1D7BF">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p>
    <w:p w14:paraId="0E943B44">
      <w:pPr>
        <w:pStyle w:val="15"/>
        <w:spacing w:beforeAutospacing="0" w:afterAutospacing="0"/>
        <w:jc w:val="center"/>
        <w:rPr>
          <w:i w:val="0"/>
          <w:iCs/>
          <w:color w:val="auto"/>
          <w:highlight w:val="none"/>
        </w:rPr>
      </w:pPr>
      <w:r>
        <w:rPr>
          <w:rFonts w:hint="eastAsia" w:ascii="黑体" w:hAnsi="宋体" w:eastAsia="黑体" w:cs="黑体"/>
          <w:b/>
          <w:i w:val="0"/>
          <w:iCs/>
          <w:color w:val="auto"/>
          <w:sz w:val="32"/>
          <w:szCs w:val="32"/>
          <w:highlight w:val="none"/>
        </w:rPr>
        <w:t>十</w:t>
      </w:r>
      <w:r>
        <w:rPr>
          <w:rFonts w:hint="eastAsia" w:ascii="黑体" w:hAnsi="宋体" w:eastAsia="黑体" w:cs="黑体"/>
          <w:b/>
          <w:i w:val="0"/>
          <w:iCs/>
          <w:color w:val="auto"/>
          <w:sz w:val="32"/>
          <w:szCs w:val="32"/>
          <w:highlight w:val="none"/>
          <w:lang w:val="en-US" w:eastAsia="zh-CN"/>
        </w:rPr>
        <w:t>三</w:t>
      </w:r>
      <w:r>
        <w:rPr>
          <w:rFonts w:hint="eastAsia" w:ascii="黑体" w:hAnsi="宋体" w:eastAsia="黑体" w:cs="黑体"/>
          <w:b/>
          <w:i w:val="0"/>
          <w:iCs/>
          <w:color w:val="auto"/>
          <w:sz w:val="32"/>
          <w:szCs w:val="32"/>
          <w:highlight w:val="none"/>
        </w:rPr>
        <w:t>、技术要求响应及偏离表</w:t>
      </w:r>
    </w:p>
    <w:tbl>
      <w:tblPr>
        <w:tblStyle w:val="1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794F9462">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255A2">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A9A86">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AB437">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0EBD">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4941">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证明</w:t>
            </w:r>
          </w:p>
          <w:p w14:paraId="3E1937F8">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材料</w:t>
            </w:r>
          </w:p>
        </w:tc>
      </w:tr>
      <w:tr w14:paraId="7212D7A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A943">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492E5">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99D4">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EF1F9">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E5014">
            <w:pPr>
              <w:pStyle w:val="15"/>
              <w:spacing w:beforeAutospacing="0" w:afterAutospacing="0"/>
              <w:jc w:val="center"/>
              <w:rPr>
                <w:i w:val="0"/>
                <w:iCs/>
                <w:color w:val="auto"/>
                <w:highlight w:val="none"/>
              </w:rPr>
            </w:pPr>
            <w:r>
              <w:rPr>
                <w:i w:val="0"/>
                <w:iCs/>
                <w:color w:val="auto"/>
                <w:highlight w:val="none"/>
              </w:rPr>
              <w:t> </w:t>
            </w:r>
          </w:p>
        </w:tc>
      </w:tr>
      <w:tr w14:paraId="563D82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0802">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84EE1">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C404">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0E7DA">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342B">
            <w:pPr>
              <w:pStyle w:val="15"/>
              <w:spacing w:beforeAutospacing="0" w:afterAutospacing="0"/>
              <w:jc w:val="center"/>
              <w:rPr>
                <w:i w:val="0"/>
                <w:iCs/>
                <w:color w:val="auto"/>
                <w:highlight w:val="none"/>
              </w:rPr>
            </w:pPr>
            <w:r>
              <w:rPr>
                <w:i w:val="0"/>
                <w:iCs/>
                <w:color w:val="auto"/>
                <w:highlight w:val="none"/>
              </w:rPr>
              <w:t> </w:t>
            </w:r>
          </w:p>
        </w:tc>
      </w:tr>
      <w:tr w14:paraId="30BA86F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A8B5">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08372">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B876D">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BDE29">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35370">
            <w:pPr>
              <w:pStyle w:val="15"/>
              <w:spacing w:beforeAutospacing="0" w:afterAutospacing="0"/>
              <w:jc w:val="center"/>
              <w:rPr>
                <w:i w:val="0"/>
                <w:iCs/>
                <w:color w:val="auto"/>
                <w:highlight w:val="none"/>
              </w:rPr>
            </w:pPr>
            <w:r>
              <w:rPr>
                <w:i w:val="0"/>
                <w:iCs/>
                <w:color w:val="auto"/>
                <w:highlight w:val="none"/>
              </w:rPr>
              <w:t> </w:t>
            </w:r>
          </w:p>
        </w:tc>
      </w:tr>
      <w:tr w14:paraId="177EA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80B8A">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4948">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F9DE">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A5A20">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9C42">
            <w:pPr>
              <w:pStyle w:val="15"/>
              <w:spacing w:beforeAutospacing="0" w:afterAutospacing="0"/>
              <w:jc w:val="center"/>
              <w:rPr>
                <w:i w:val="0"/>
                <w:iCs/>
                <w:color w:val="auto"/>
                <w:highlight w:val="none"/>
              </w:rPr>
            </w:pPr>
            <w:r>
              <w:rPr>
                <w:i w:val="0"/>
                <w:iCs/>
                <w:color w:val="auto"/>
                <w:highlight w:val="none"/>
              </w:rPr>
              <w:t> </w:t>
            </w:r>
          </w:p>
        </w:tc>
      </w:tr>
      <w:tr w14:paraId="734AF36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190F">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6334">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B990E">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BBBBF">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5BB7">
            <w:pPr>
              <w:pStyle w:val="15"/>
              <w:spacing w:beforeAutospacing="0" w:afterAutospacing="0"/>
              <w:jc w:val="center"/>
              <w:rPr>
                <w:i w:val="0"/>
                <w:iCs/>
                <w:color w:val="auto"/>
                <w:highlight w:val="none"/>
              </w:rPr>
            </w:pPr>
            <w:r>
              <w:rPr>
                <w:i w:val="0"/>
                <w:iCs/>
                <w:color w:val="auto"/>
                <w:highlight w:val="none"/>
              </w:rPr>
              <w:t> </w:t>
            </w:r>
          </w:p>
        </w:tc>
      </w:tr>
      <w:tr w14:paraId="346C654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B331">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F5F5">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A5506">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67BF1">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4749">
            <w:pPr>
              <w:pStyle w:val="15"/>
              <w:spacing w:beforeAutospacing="0" w:afterAutospacing="0"/>
              <w:jc w:val="center"/>
              <w:rPr>
                <w:i w:val="0"/>
                <w:iCs/>
                <w:color w:val="auto"/>
                <w:highlight w:val="none"/>
              </w:rPr>
            </w:pPr>
            <w:r>
              <w:rPr>
                <w:i w:val="0"/>
                <w:iCs/>
                <w:color w:val="auto"/>
                <w:highlight w:val="none"/>
              </w:rPr>
              <w:t> </w:t>
            </w:r>
          </w:p>
        </w:tc>
      </w:tr>
      <w:tr w14:paraId="521CA7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10CF">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36CEB">
            <w:pPr>
              <w:pStyle w:val="15"/>
              <w:spacing w:beforeAutospacing="0" w:afterAutospacing="0"/>
              <w:jc w:val="center"/>
              <w:rPr>
                <w:i w:val="0"/>
                <w:iCs/>
                <w:color w:val="auto"/>
                <w:highlight w:val="none"/>
              </w:rPr>
            </w:pPr>
            <w:r>
              <w:rPr>
                <w:i w:val="0"/>
                <w:iCs/>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465C">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F82D">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9315">
            <w:pPr>
              <w:pStyle w:val="15"/>
              <w:spacing w:beforeAutospacing="0" w:afterAutospacing="0"/>
              <w:jc w:val="center"/>
              <w:rPr>
                <w:i w:val="0"/>
                <w:iCs/>
                <w:color w:val="auto"/>
                <w:highlight w:val="none"/>
              </w:rPr>
            </w:pPr>
            <w:r>
              <w:rPr>
                <w:i w:val="0"/>
                <w:iCs/>
                <w:color w:val="auto"/>
                <w:highlight w:val="none"/>
              </w:rPr>
              <w:t> </w:t>
            </w:r>
          </w:p>
        </w:tc>
      </w:tr>
      <w:tr w14:paraId="000786E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C1E36">
            <w:pPr>
              <w:pStyle w:val="15"/>
              <w:spacing w:beforeAutospacing="0" w:afterAutospacing="0"/>
              <w:jc w:val="center"/>
              <w:rPr>
                <w:i w:val="0"/>
                <w:iCs/>
                <w:color w:val="auto"/>
                <w:highlight w:val="none"/>
              </w:rPr>
            </w:pPr>
            <w:r>
              <w:rPr>
                <w:i w:val="0"/>
                <w:iCs/>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BF21">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8F49">
            <w:pPr>
              <w:pStyle w:val="15"/>
              <w:spacing w:beforeAutospacing="0" w:afterAutospacing="0"/>
              <w:jc w:val="center"/>
              <w:rPr>
                <w:i w:val="0"/>
                <w:iCs/>
                <w:color w:val="auto"/>
                <w:highlight w:val="none"/>
              </w:rPr>
            </w:pPr>
            <w:r>
              <w:rPr>
                <w:i w:val="0"/>
                <w:iCs/>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FCA1">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675D9">
            <w:pPr>
              <w:pStyle w:val="15"/>
              <w:spacing w:beforeAutospacing="0" w:afterAutospacing="0"/>
              <w:jc w:val="center"/>
              <w:rPr>
                <w:i w:val="0"/>
                <w:iCs/>
                <w:color w:val="auto"/>
                <w:highlight w:val="none"/>
              </w:rPr>
            </w:pPr>
            <w:r>
              <w:rPr>
                <w:i w:val="0"/>
                <w:iCs/>
                <w:color w:val="auto"/>
                <w:highlight w:val="none"/>
              </w:rPr>
              <w:t> </w:t>
            </w:r>
          </w:p>
        </w:tc>
      </w:tr>
    </w:tbl>
    <w:p w14:paraId="4017D545">
      <w:pPr>
        <w:pStyle w:val="15"/>
        <w:spacing w:beforeAutospacing="0" w:afterAutospacing="0"/>
        <w:jc w:val="both"/>
        <w:rPr>
          <w:i w:val="0"/>
          <w:iCs/>
          <w:color w:val="auto"/>
          <w:highlight w:val="none"/>
        </w:rPr>
      </w:pPr>
      <w:r>
        <w:rPr>
          <w:rFonts w:hint="eastAsia" w:ascii="宋体" w:hAnsi="宋体" w:eastAsia="宋体" w:cs="宋体"/>
          <w:i w:val="0"/>
          <w:iCs/>
          <w:color w:val="auto"/>
          <w:highlight w:val="none"/>
        </w:rPr>
        <w:t>注： 行数不够，可自行添加。</w:t>
      </w:r>
    </w:p>
    <w:p w14:paraId="1932B2C9">
      <w:pPr>
        <w:pStyle w:val="15"/>
        <w:spacing w:beforeAutospacing="0" w:afterAutospacing="0"/>
        <w:jc w:val="center"/>
        <w:rPr>
          <w:i w:val="0"/>
          <w:iCs/>
          <w:color w:val="auto"/>
          <w:highlight w:val="none"/>
        </w:rPr>
      </w:pPr>
      <w:r>
        <w:rPr>
          <w:i w:val="0"/>
          <w:iCs/>
          <w:color w:val="auto"/>
          <w:highlight w:val="none"/>
        </w:rPr>
        <w:t> </w:t>
      </w:r>
    </w:p>
    <w:p w14:paraId="728B1623">
      <w:pPr>
        <w:pStyle w:val="15"/>
        <w:spacing w:beforeAutospacing="0" w:afterAutospacing="0"/>
        <w:jc w:val="center"/>
        <w:rPr>
          <w:i w:val="0"/>
          <w:iCs/>
          <w:color w:val="auto"/>
          <w:highlight w:val="none"/>
        </w:rPr>
      </w:pPr>
      <w:r>
        <w:rPr>
          <w:i w:val="0"/>
          <w:iCs/>
          <w:color w:val="auto"/>
          <w:highlight w:val="none"/>
        </w:rPr>
        <w:t> </w:t>
      </w:r>
    </w:p>
    <w:p w14:paraId="39FFD35A">
      <w:pPr>
        <w:pStyle w:val="15"/>
        <w:spacing w:beforeAutospacing="0" w:afterAutospacing="0"/>
        <w:jc w:val="center"/>
        <w:rPr>
          <w:i w:val="0"/>
          <w:iCs/>
          <w:color w:val="auto"/>
          <w:highlight w:val="none"/>
        </w:rPr>
      </w:pPr>
      <w:r>
        <w:rPr>
          <w:i w:val="0"/>
          <w:iCs/>
          <w:color w:val="auto"/>
          <w:highlight w:val="none"/>
        </w:rPr>
        <w:t> </w:t>
      </w:r>
    </w:p>
    <w:p w14:paraId="195C3A87">
      <w:pPr>
        <w:pStyle w:val="15"/>
        <w:spacing w:beforeAutospacing="0" w:afterAutospacing="0"/>
        <w:jc w:val="center"/>
        <w:rPr>
          <w:i w:val="0"/>
          <w:iCs/>
          <w:color w:val="auto"/>
          <w:highlight w:val="none"/>
        </w:rPr>
      </w:pPr>
      <w:r>
        <w:rPr>
          <w:i w:val="0"/>
          <w:iCs/>
          <w:color w:val="auto"/>
          <w:highlight w:val="none"/>
        </w:rPr>
        <w:t> </w:t>
      </w:r>
    </w:p>
    <w:p w14:paraId="5A3F37A3">
      <w:pPr>
        <w:pStyle w:val="15"/>
        <w:spacing w:beforeAutospacing="0" w:afterAutospacing="0"/>
        <w:jc w:val="both"/>
        <w:rPr>
          <w:i w:val="0"/>
          <w:iCs/>
          <w:color w:val="auto"/>
          <w:highlight w:val="none"/>
        </w:rPr>
      </w:pPr>
      <w:r>
        <w:rPr>
          <w:i w:val="0"/>
          <w:iCs/>
          <w:color w:val="auto"/>
          <w:highlight w:val="none"/>
        </w:rPr>
        <w:t> </w:t>
      </w:r>
    </w:p>
    <w:p w14:paraId="07EF449B">
      <w:pPr>
        <w:pStyle w:val="15"/>
        <w:spacing w:beforeAutospacing="0" w:afterAutospacing="0"/>
        <w:jc w:val="both"/>
        <w:rPr>
          <w:i w:val="0"/>
          <w:iCs/>
          <w:color w:val="auto"/>
          <w:highlight w:val="none"/>
        </w:rPr>
      </w:pPr>
      <w:r>
        <w:rPr>
          <w:i w:val="0"/>
          <w:iCs/>
          <w:color w:val="auto"/>
          <w:highlight w:val="none"/>
        </w:rPr>
        <w:t> </w:t>
      </w:r>
    </w:p>
    <w:p w14:paraId="2D66A686">
      <w:pPr>
        <w:pStyle w:val="15"/>
        <w:spacing w:beforeAutospacing="0" w:afterAutospacing="0"/>
        <w:jc w:val="both"/>
        <w:rPr>
          <w:i w:val="0"/>
          <w:iCs/>
          <w:color w:val="auto"/>
          <w:highlight w:val="none"/>
        </w:rPr>
      </w:pPr>
      <w:r>
        <w:rPr>
          <w:i w:val="0"/>
          <w:iCs/>
          <w:color w:val="auto"/>
          <w:highlight w:val="none"/>
        </w:rPr>
        <w:t> </w:t>
      </w:r>
    </w:p>
    <w:p w14:paraId="32C4CA1E">
      <w:pPr>
        <w:pStyle w:val="15"/>
        <w:spacing w:beforeAutospacing="0" w:afterAutospacing="0"/>
        <w:jc w:val="both"/>
        <w:rPr>
          <w:i w:val="0"/>
          <w:iCs/>
          <w:color w:val="auto"/>
          <w:highlight w:val="none"/>
        </w:rPr>
      </w:pPr>
      <w:r>
        <w:rPr>
          <w:i w:val="0"/>
          <w:iCs/>
          <w:color w:val="auto"/>
          <w:highlight w:val="none"/>
        </w:rPr>
        <w:t> </w:t>
      </w:r>
    </w:p>
    <w:p w14:paraId="06EE8CBE">
      <w:pPr>
        <w:pStyle w:val="15"/>
        <w:spacing w:beforeAutospacing="0" w:afterAutospacing="0"/>
        <w:jc w:val="both"/>
        <w:rPr>
          <w:i w:val="0"/>
          <w:iCs/>
          <w:color w:val="auto"/>
          <w:highlight w:val="none"/>
        </w:rPr>
      </w:pPr>
      <w:r>
        <w:rPr>
          <w:i w:val="0"/>
          <w:iCs/>
          <w:color w:val="auto"/>
          <w:highlight w:val="none"/>
        </w:rPr>
        <w:t> </w:t>
      </w:r>
    </w:p>
    <w:p w14:paraId="64BB1926">
      <w:pPr>
        <w:pStyle w:val="15"/>
        <w:spacing w:beforeAutospacing="0" w:afterAutospacing="0"/>
        <w:jc w:val="both"/>
        <w:rPr>
          <w:i w:val="0"/>
          <w:iCs/>
          <w:color w:val="auto"/>
          <w:highlight w:val="none"/>
        </w:rPr>
      </w:pPr>
      <w:r>
        <w:rPr>
          <w:i w:val="0"/>
          <w:iCs/>
          <w:color w:val="auto"/>
          <w:highlight w:val="none"/>
        </w:rPr>
        <w:t> </w:t>
      </w:r>
    </w:p>
    <w:p w14:paraId="0BC400FA">
      <w:pPr>
        <w:pStyle w:val="15"/>
        <w:spacing w:beforeAutospacing="0" w:afterAutospacing="0"/>
        <w:jc w:val="both"/>
        <w:rPr>
          <w:i w:val="0"/>
          <w:iCs/>
          <w:color w:val="auto"/>
          <w:highlight w:val="none"/>
        </w:rPr>
      </w:pPr>
      <w:r>
        <w:rPr>
          <w:i w:val="0"/>
          <w:iCs/>
          <w:color w:val="auto"/>
          <w:highlight w:val="none"/>
        </w:rPr>
        <w:t> </w:t>
      </w:r>
    </w:p>
    <w:p w14:paraId="5819F4D6">
      <w:pPr>
        <w:pStyle w:val="15"/>
        <w:spacing w:beforeAutospacing="0" w:afterAutospacing="0"/>
        <w:jc w:val="both"/>
        <w:rPr>
          <w:i w:val="0"/>
          <w:iCs/>
          <w:color w:val="auto"/>
          <w:highlight w:val="none"/>
        </w:rPr>
      </w:pPr>
      <w:r>
        <w:rPr>
          <w:i w:val="0"/>
          <w:iCs/>
          <w:color w:val="auto"/>
          <w:highlight w:val="none"/>
        </w:rPr>
        <w:t> </w:t>
      </w:r>
    </w:p>
    <w:p w14:paraId="099C702B">
      <w:pPr>
        <w:rPr>
          <w:rFonts w:hint="eastAsia" w:ascii="黑体" w:hAnsi="宋体" w:eastAsia="黑体" w:cs="黑体"/>
          <w:b/>
          <w:i w:val="0"/>
          <w:iCs/>
          <w:color w:val="auto"/>
          <w:sz w:val="32"/>
          <w:szCs w:val="32"/>
          <w:highlight w:val="none"/>
        </w:rPr>
      </w:pPr>
      <w:bookmarkStart w:id="190" w:name="_Hlt26955054"/>
      <w:r>
        <w:rPr>
          <w:rFonts w:hint="eastAsia" w:ascii="黑体" w:hAnsi="宋体" w:eastAsia="黑体" w:cs="黑体"/>
          <w:b/>
          <w:i w:val="0"/>
          <w:iCs/>
          <w:color w:val="auto"/>
          <w:sz w:val="32"/>
          <w:szCs w:val="32"/>
          <w:highlight w:val="none"/>
        </w:rPr>
        <w:br w:type="page"/>
      </w:r>
    </w:p>
    <w:p w14:paraId="68AF5E3B">
      <w:pPr>
        <w:pStyle w:val="15"/>
        <w:spacing w:beforeAutospacing="0" w:afterAutospacing="0"/>
        <w:jc w:val="center"/>
        <w:rPr>
          <w:i w:val="0"/>
          <w:iCs/>
          <w:color w:val="auto"/>
          <w:highlight w:val="none"/>
        </w:rPr>
      </w:pPr>
      <w:r>
        <w:rPr>
          <w:rFonts w:hint="eastAsia" w:ascii="黑体" w:hAnsi="宋体" w:eastAsia="黑体" w:cs="黑体"/>
          <w:b/>
          <w:i w:val="0"/>
          <w:iCs/>
          <w:color w:val="auto"/>
          <w:sz w:val="32"/>
          <w:szCs w:val="32"/>
          <w:highlight w:val="none"/>
        </w:rPr>
        <w:t>十</w:t>
      </w:r>
      <w:r>
        <w:rPr>
          <w:rFonts w:hint="eastAsia" w:ascii="黑体" w:hAnsi="宋体" w:eastAsia="黑体" w:cs="黑体"/>
          <w:b/>
          <w:i w:val="0"/>
          <w:iCs/>
          <w:color w:val="auto"/>
          <w:sz w:val="32"/>
          <w:szCs w:val="32"/>
          <w:highlight w:val="none"/>
          <w:lang w:val="en-US" w:eastAsia="zh-CN"/>
        </w:rPr>
        <w:t>四</w:t>
      </w:r>
      <w:r>
        <w:rPr>
          <w:rFonts w:hint="eastAsia" w:ascii="黑体" w:hAnsi="宋体" w:eastAsia="黑体" w:cs="黑体"/>
          <w:b/>
          <w:i w:val="0"/>
          <w:iCs/>
          <w:color w:val="auto"/>
          <w:sz w:val="32"/>
          <w:szCs w:val="32"/>
          <w:highlight w:val="none"/>
        </w:rPr>
        <w:t>、商务要求响应及偏离表</w:t>
      </w:r>
    </w:p>
    <w:tbl>
      <w:tblPr>
        <w:tblStyle w:val="1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8058AB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9898E">
            <w:pPr>
              <w:pStyle w:val="15"/>
              <w:spacing w:beforeAutospacing="0" w:afterAutospacing="0"/>
              <w:jc w:val="center"/>
              <w:rPr>
                <w:i w:val="0"/>
                <w:iCs/>
                <w:color w:val="auto"/>
                <w:highlight w:val="none"/>
              </w:rPr>
            </w:pPr>
            <w:bookmarkStart w:id="191" w:name="_Hlt26671343"/>
            <w:bookmarkStart w:id="192" w:name="_Hlt26782999"/>
            <w:bookmarkStart w:id="193" w:name="_Hlt26671372"/>
            <w:bookmarkStart w:id="194" w:name="_Hlt24879081"/>
            <w:bookmarkStart w:id="195" w:name="_Hlt26955064"/>
            <w:bookmarkStart w:id="196" w:name="_Hlt26580838"/>
            <w:bookmarkStart w:id="197" w:name="_Hlt26955056"/>
            <w:bookmarkStart w:id="198" w:name="_Hlt26609391"/>
            <w:r>
              <w:rPr>
                <w:rFonts w:hint="eastAsia" w:ascii="宋体" w:hAnsi="宋体" w:eastAsia="宋体" w:cs="宋体"/>
                <w:i w:val="0"/>
                <w:iCs/>
                <w:color w:val="auto"/>
                <w:highlight w:val="none"/>
              </w:rPr>
              <w:t>序号</w:t>
            </w:r>
          </w:p>
          <w:bookmarkEnd w:id="191"/>
          <w:bookmarkEnd w:id="192"/>
          <w:bookmarkEnd w:id="193"/>
          <w:bookmarkEnd w:id="194"/>
          <w:bookmarkEnd w:id="195"/>
          <w:bookmarkEnd w:id="196"/>
          <w:bookmarkEnd w:id="197"/>
          <w:bookmarkEnd w:id="198"/>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5CD9C">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磋商文件要求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6FE1">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94B">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C910">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证明</w:t>
            </w:r>
          </w:p>
          <w:p w14:paraId="66CF6DB2">
            <w:pPr>
              <w:pStyle w:val="15"/>
              <w:spacing w:beforeAutospacing="0" w:afterAutospacing="0"/>
              <w:jc w:val="center"/>
              <w:rPr>
                <w:i w:val="0"/>
                <w:iCs/>
                <w:color w:val="auto"/>
                <w:highlight w:val="none"/>
              </w:rPr>
            </w:pPr>
            <w:r>
              <w:rPr>
                <w:rFonts w:hint="eastAsia" w:ascii="宋体" w:hAnsi="宋体" w:eastAsia="宋体" w:cs="宋体"/>
                <w:i w:val="0"/>
                <w:iCs/>
                <w:color w:val="auto"/>
                <w:highlight w:val="none"/>
              </w:rPr>
              <w:t>材料</w:t>
            </w:r>
          </w:p>
        </w:tc>
      </w:tr>
      <w:tr w14:paraId="6E5E01B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192BF97B">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A9D1">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合同内容</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A751F">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按照招标文件约定</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60A5">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9843">
            <w:pPr>
              <w:pStyle w:val="15"/>
              <w:spacing w:beforeAutospacing="0" w:afterAutospacing="0"/>
              <w:jc w:val="center"/>
              <w:rPr>
                <w:i w:val="0"/>
                <w:iCs/>
                <w:color w:val="auto"/>
                <w:highlight w:val="none"/>
              </w:rPr>
            </w:pPr>
            <w:r>
              <w:rPr>
                <w:i w:val="0"/>
                <w:iCs/>
                <w:color w:val="auto"/>
                <w:highlight w:val="none"/>
              </w:rPr>
              <w:t> </w:t>
            </w:r>
          </w:p>
        </w:tc>
      </w:tr>
      <w:tr w14:paraId="3155E0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687A17AC">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2</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53E">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工期</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03764">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日历天</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AC1DF">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E71C9">
            <w:pPr>
              <w:pStyle w:val="15"/>
              <w:spacing w:beforeAutospacing="0" w:afterAutospacing="0"/>
              <w:jc w:val="center"/>
              <w:rPr>
                <w:i w:val="0"/>
                <w:iCs/>
                <w:color w:val="auto"/>
                <w:highlight w:val="none"/>
              </w:rPr>
            </w:pPr>
            <w:r>
              <w:rPr>
                <w:i w:val="0"/>
                <w:iCs/>
                <w:color w:val="auto"/>
                <w:highlight w:val="none"/>
              </w:rPr>
              <w:t> </w:t>
            </w:r>
          </w:p>
        </w:tc>
      </w:tr>
      <w:tr w14:paraId="2AD2504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75F85D8A">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3</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CA69C">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质量</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02F39">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合格</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1291">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CBDD5">
            <w:pPr>
              <w:pStyle w:val="15"/>
              <w:spacing w:beforeAutospacing="0" w:afterAutospacing="0"/>
              <w:jc w:val="center"/>
              <w:rPr>
                <w:i w:val="0"/>
                <w:iCs/>
                <w:color w:val="auto"/>
                <w:highlight w:val="none"/>
              </w:rPr>
            </w:pPr>
            <w:r>
              <w:rPr>
                <w:i w:val="0"/>
                <w:iCs/>
                <w:color w:val="auto"/>
                <w:highlight w:val="none"/>
              </w:rPr>
              <w:t> </w:t>
            </w:r>
          </w:p>
        </w:tc>
      </w:tr>
      <w:tr w14:paraId="2EF259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1872B757">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4</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90B01">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付款方式</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D57E5">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按照招标文件约定</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76B2">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8749">
            <w:pPr>
              <w:pStyle w:val="15"/>
              <w:spacing w:beforeAutospacing="0" w:afterAutospacing="0"/>
              <w:jc w:val="center"/>
              <w:rPr>
                <w:i w:val="0"/>
                <w:iCs/>
                <w:color w:val="auto"/>
                <w:highlight w:val="none"/>
              </w:rPr>
            </w:pPr>
            <w:r>
              <w:rPr>
                <w:i w:val="0"/>
                <w:iCs/>
                <w:color w:val="auto"/>
                <w:highlight w:val="none"/>
              </w:rPr>
              <w:t> </w:t>
            </w:r>
          </w:p>
        </w:tc>
      </w:tr>
      <w:tr w14:paraId="6AB2957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3C2A5EAA">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5</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F50E6">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投标货币</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F31F">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人民币</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E9B3E">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EDB1F">
            <w:pPr>
              <w:pStyle w:val="15"/>
              <w:spacing w:beforeAutospacing="0" w:afterAutospacing="0"/>
              <w:jc w:val="center"/>
              <w:rPr>
                <w:i w:val="0"/>
                <w:iCs/>
                <w:color w:val="auto"/>
                <w:highlight w:val="none"/>
              </w:rPr>
            </w:pPr>
            <w:r>
              <w:rPr>
                <w:i w:val="0"/>
                <w:iCs/>
                <w:color w:val="auto"/>
                <w:highlight w:val="none"/>
              </w:rPr>
              <w:t> </w:t>
            </w:r>
          </w:p>
        </w:tc>
      </w:tr>
      <w:tr w14:paraId="1A4630F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166FC6C3">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6</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FEA79">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履约保证金</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F58EF">
            <w:pPr>
              <w:spacing w:line="360" w:lineRule="auto"/>
              <w:jc w:val="center"/>
              <w:rPr>
                <w:rFonts w:ascii="宋体" w:hAnsi="宋体" w:cs="宋体" w:eastAsiaTheme="minorEastAsia"/>
                <w:color w:val="000000" w:themeColor="text1"/>
                <w:kern w:val="2"/>
                <w:sz w:val="24"/>
                <w:szCs w:val="24"/>
                <w:lang w:val="en-US" w:eastAsia="zh-CN" w:bidi="ar-SA"/>
                <w14:textFill>
                  <w14:solidFill>
                    <w14:schemeClr w14:val="tx1"/>
                  </w14:solidFill>
                </w14:textFill>
              </w:rPr>
            </w:pPr>
            <w:r>
              <w:rPr>
                <w:rFonts w:hint="eastAsia" w:ascii="宋体" w:hAnsi="宋体" w:cs="宋体"/>
                <w:color w:val="000000" w:themeColor="text1"/>
                <w:sz w:val="24"/>
                <w14:textFill>
                  <w14:solidFill>
                    <w14:schemeClr w14:val="tx1"/>
                  </w14:solidFill>
                </w14:textFill>
              </w:rPr>
              <w:t>按照招标文件约定</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598C6">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878BC">
            <w:pPr>
              <w:pStyle w:val="15"/>
              <w:spacing w:beforeAutospacing="0" w:afterAutospacing="0"/>
              <w:jc w:val="center"/>
              <w:rPr>
                <w:i w:val="0"/>
                <w:iCs/>
                <w:color w:val="auto"/>
                <w:highlight w:val="none"/>
              </w:rPr>
            </w:pPr>
            <w:r>
              <w:rPr>
                <w:i w:val="0"/>
                <w:iCs/>
                <w:color w:val="auto"/>
                <w:highlight w:val="none"/>
              </w:rPr>
              <w:t> </w:t>
            </w:r>
          </w:p>
        </w:tc>
      </w:tr>
      <w:tr w14:paraId="7BDF931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1E58BA25">
            <w:pPr>
              <w:spacing w:line="360" w:lineRule="auto"/>
              <w:jc w:val="center"/>
              <w:rPr>
                <w:i w:val="0"/>
                <w:iCs/>
                <w:color w:val="auto"/>
                <w:highlight w:val="none"/>
              </w:rPr>
            </w:pPr>
            <w:r>
              <w:rPr>
                <w:rFonts w:hint="eastAsia" w:ascii="宋体" w:hAnsi="宋体" w:cs="宋体"/>
                <w:color w:val="000000" w:themeColor="text1"/>
                <w:sz w:val="24"/>
                <w14:textFill>
                  <w14:solidFill>
                    <w14:schemeClr w14:val="tx1"/>
                  </w14:solidFill>
                </w14:textFill>
              </w:rPr>
              <w:t>7</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27B45">
            <w:pPr>
              <w:spacing w:line="360" w:lineRule="auto"/>
              <w:jc w:val="center"/>
              <w:rPr>
                <w:i w:val="0"/>
                <w:iCs/>
                <w:color w:val="auto"/>
                <w:highlight w:val="none"/>
              </w:rPr>
            </w:pPr>
            <w:r>
              <w:rPr>
                <w:rFonts w:hint="eastAsia" w:ascii="宋体" w:hAnsi="宋体"/>
                <w:bCs/>
                <w:color w:val="000000" w:themeColor="text1"/>
                <w:sz w:val="24"/>
                <w14:textFill>
                  <w14:solidFill>
                    <w14:schemeClr w14:val="tx1"/>
                  </w14:solidFill>
                </w14:textFill>
              </w:rPr>
              <w:t>承包方式</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3959">
            <w:pPr>
              <w:spacing w:line="360" w:lineRule="auto"/>
              <w:jc w:val="center"/>
              <w:rPr>
                <w:i w:val="0"/>
                <w:iCs/>
                <w:color w:val="auto"/>
                <w:highlight w:val="none"/>
              </w:rPr>
            </w:pPr>
            <w:r>
              <w:rPr>
                <w:rFonts w:hint="eastAsia" w:ascii="宋体" w:hAnsi="宋体"/>
                <w:bCs/>
                <w:color w:val="000000" w:themeColor="text1"/>
                <w:sz w:val="24"/>
                <w14:textFill>
                  <w14:solidFill>
                    <w14:schemeClr w14:val="tx1"/>
                  </w14:solidFill>
                </w14:textFill>
              </w:rPr>
              <w:t>包工包料</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EB6B">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F07B">
            <w:pPr>
              <w:pStyle w:val="15"/>
              <w:spacing w:beforeAutospacing="0" w:afterAutospacing="0"/>
              <w:jc w:val="center"/>
              <w:rPr>
                <w:i w:val="0"/>
                <w:iCs/>
                <w:color w:val="auto"/>
                <w:highlight w:val="none"/>
              </w:rPr>
            </w:pPr>
            <w:r>
              <w:rPr>
                <w:i w:val="0"/>
                <w:iCs/>
                <w:color w:val="auto"/>
                <w:highlight w:val="none"/>
              </w:rPr>
              <w:t> </w:t>
            </w:r>
          </w:p>
        </w:tc>
      </w:tr>
      <w:tr w14:paraId="13228C3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top"/>
          </w:tcPr>
          <w:p w14:paraId="53375321">
            <w:pPr>
              <w:spacing w:line="360" w:lineRule="auto"/>
              <w:jc w:val="center"/>
              <w:rPr>
                <w:i w:val="0"/>
                <w:iCs/>
                <w:color w:val="auto"/>
                <w:highlight w:val="none"/>
              </w:rPr>
            </w:pPr>
            <w:r>
              <w:rPr>
                <w:rFonts w:hint="eastAsia" w:ascii="宋体" w:hAnsi="宋体" w:cs="宋体"/>
                <w:color w:val="000000" w:themeColor="text1"/>
                <w:sz w:val="24"/>
                <w14:textFill>
                  <w14:solidFill>
                    <w14:schemeClr w14:val="tx1"/>
                  </w14:solidFill>
                </w14:textFill>
              </w:rPr>
              <w:t>8</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CC5">
            <w:pPr>
              <w:spacing w:line="360" w:lineRule="auto"/>
              <w:jc w:val="center"/>
              <w:rPr>
                <w:i w:val="0"/>
                <w:iCs/>
                <w:color w:val="auto"/>
                <w:highlight w:val="none"/>
              </w:rPr>
            </w:pPr>
            <w:r>
              <w:rPr>
                <w:rFonts w:hint="eastAsia" w:ascii="宋体" w:hAnsi="宋体" w:cs="宋体"/>
                <w:color w:val="000000" w:themeColor="text1"/>
                <w:sz w:val="24"/>
                <w14:textFill>
                  <w14:solidFill>
                    <w14:schemeClr w14:val="tx1"/>
                  </w14:solidFill>
                </w14:textFill>
              </w:rPr>
              <w:t>其他</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7602">
            <w:pPr>
              <w:spacing w:line="360" w:lineRule="auto"/>
              <w:jc w:val="center"/>
              <w:rPr>
                <w:i w:val="0"/>
                <w:iCs/>
                <w:color w:val="auto"/>
                <w:highlight w:val="none"/>
              </w:rPr>
            </w:pPr>
            <w:r>
              <w:rPr>
                <w:rFonts w:hint="eastAsia" w:ascii="宋体" w:hAnsi="宋体" w:cs="宋体"/>
                <w:color w:val="000000" w:themeColor="text1"/>
                <w:sz w:val="24"/>
                <w14:textFill>
                  <w14:solidFill>
                    <w14:schemeClr w14:val="tx1"/>
                  </w14:solidFill>
                </w14:textFill>
              </w:rPr>
              <w:t>按照招标文件约定</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FC649">
            <w:pPr>
              <w:pStyle w:val="15"/>
              <w:spacing w:beforeAutospacing="0" w:afterAutospacing="0"/>
              <w:jc w:val="center"/>
              <w:rPr>
                <w:i w:val="0"/>
                <w:iCs/>
                <w:color w:val="auto"/>
                <w:highlight w:val="none"/>
              </w:rPr>
            </w:pPr>
            <w:r>
              <w:rPr>
                <w:i w:val="0"/>
                <w:iCs/>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933D5">
            <w:pPr>
              <w:pStyle w:val="15"/>
              <w:spacing w:beforeAutospacing="0" w:afterAutospacing="0"/>
              <w:jc w:val="center"/>
              <w:rPr>
                <w:i w:val="0"/>
                <w:iCs/>
                <w:color w:val="auto"/>
                <w:highlight w:val="none"/>
              </w:rPr>
            </w:pPr>
            <w:r>
              <w:rPr>
                <w:i w:val="0"/>
                <w:iCs/>
                <w:color w:val="auto"/>
                <w:highlight w:val="none"/>
              </w:rPr>
              <w:t> </w:t>
            </w:r>
          </w:p>
        </w:tc>
      </w:tr>
    </w:tbl>
    <w:p w14:paraId="728C6C08">
      <w:pPr>
        <w:pStyle w:val="15"/>
        <w:spacing w:beforeAutospacing="0" w:afterAutospacing="0"/>
        <w:jc w:val="both"/>
        <w:rPr>
          <w:i w:val="0"/>
          <w:iCs/>
          <w:color w:val="auto"/>
          <w:highlight w:val="none"/>
        </w:rPr>
      </w:pPr>
      <w:r>
        <w:rPr>
          <w:rFonts w:hint="eastAsia" w:ascii="宋体" w:hAnsi="宋体" w:eastAsia="宋体" w:cs="宋体"/>
          <w:i w:val="0"/>
          <w:iCs/>
          <w:color w:val="auto"/>
          <w:highlight w:val="none"/>
        </w:rPr>
        <w:t>注： 行数不够，可自行添加。</w:t>
      </w:r>
    </w:p>
    <w:p w14:paraId="5C26DAE2">
      <w:pPr>
        <w:pStyle w:val="15"/>
        <w:spacing w:beforeAutospacing="0" w:afterAutospacing="0" w:line="480" w:lineRule="auto"/>
        <w:jc w:val="both"/>
        <w:rPr>
          <w:i w:val="0"/>
          <w:iCs/>
          <w:color w:val="auto"/>
          <w:highlight w:val="none"/>
        </w:rPr>
      </w:pPr>
      <w:r>
        <w:rPr>
          <w:i w:val="0"/>
          <w:iCs/>
          <w:color w:val="auto"/>
          <w:highlight w:val="none"/>
        </w:rPr>
        <w:t> </w:t>
      </w:r>
    </w:p>
    <w:p w14:paraId="6622F06A">
      <w:pPr>
        <w:pStyle w:val="15"/>
        <w:spacing w:beforeAutospacing="0" w:afterAutospacing="0" w:line="480" w:lineRule="auto"/>
        <w:jc w:val="both"/>
        <w:rPr>
          <w:i w:val="0"/>
          <w:iCs/>
          <w:color w:val="auto"/>
          <w:highlight w:val="none"/>
        </w:rPr>
      </w:pPr>
      <w:r>
        <w:rPr>
          <w:i w:val="0"/>
          <w:iCs/>
          <w:color w:val="auto"/>
          <w:highlight w:val="none"/>
        </w:rPr>
        <w:t> </w:t>
      </w:r>
    </w:p>
    <w:p w14:paraId="0FE6B336">
      <w:pPr>
        <w:pStyle w:val="15"/>
        <w:spacing w:beforeAutospacing="0" w:afterAutospacing="0"/>
        <w:jc w:val="center"/>
        <w:rPr>
          <w:i w:val="0"/>
          <w:iCs/>
          <w:color w:val="auto"/>
          <w:highlight w:val="none"/>
        </w:rPr>
      </w:pPr>
      <w:bookmarkStart w:id="199" w:name="_Toc462564146"/>
      <w:bookmarkStart w:id="200" w:name="_Hlt26671374"/>
      <w:bookmarkStart w:id="201" w:name="_格式2__法定代表人授权书"/>
      <w:bookmarkStart w:id="202" w:name="_Hlt26609389"/>
      <w:bookmarkStart w:id="203" w:name="_Hlt26955066"/>
      <w:r>
        <w:rPr>
          <w:i w:val="0"/>
          <w:iCs/>
          <w:color w:val="auto"/>
          <w:highlight w:val="none"/>
        </w:rPr>
        <w:t> </w:t>
      </w:r>
    </w:p>
    <w:p w14:paraId="30C138E2">
      <w:pPr>
        <w:pStyle w:val="15"/>
        <w:spacing w:beforeAutospacing="0" w:afterAutospacing="0"/>
        <w:jc w:val="center"/>
        <w:rPr>
          <w:i w:val="0"/>
          <w:iCs/>
          <w:color w:val="auto"/>
          <w:highlight w:val="none"/>
        </w:rPr>
      </w:pPr>
      <w:r>
        <w:rPr>
          <w:i w:val="0"/>
          <w:iCs/>
          <w:color w:val="auto"/>
          <w:highlight w:val="none"/>
        </w:rPr>
        <w:t> </w:t>
      </w:r>
    </w:p>
    <w:p w14:paraId="083C0048">
      <w:pPr>
        <w:pStyle w:val="15"/>
        <w:spacing w:beforeAutospacing="0" w:afterAutospacing="0"/>
        <w:jc w:val="center"/>
        <w:rPr>
          <w:i w:val="0"/>
          <w:iCs/>
          <w:color w:val="auto"/>
          <w:highlight w:val="none"/>
        </w:rPr>
      </w:pPr>
    </w:p>
    <w:p w14:paraId="59AA6E78">
      <w:pPr>
        <w:pStyle w:val="15"/>
        <w:spacing w:beforeAutospacing="0" w:afterAutospacing="0"/>
        <w:jc w:val="center"/>
        <w:rPr>
          <w:i w:val="0"/>
          <w:iCs/>
          <w:color w:val="auto"/>
          <w:highlight w:val="none"/>
        </w:rPr>
      </w:pPr>
    </w:p>
    <w:p w14:paraId="234EC993">
      <w:pPr>
        <w:pStyle w:val="15"/>
        <w:spacing w:beforeAutospacing="0" w:afterAutospacing="0"/>
        <w:jc w:val="center"/>
        <w:rPr>
          <w:i w:val="0"/>
          <w:iCs/>
          <w:color w:val="auto"/>
          <w:highlight w:val="none"/>
        </w:rPr>
      </w:pPr>
    </w:p>
    <w:p w14:paraId="00FAB3FE">
      <w:pPr>
        <w:pStyle w:val="15"/>
        <w:spacing w:beforeAutospacing="0" w:afterAutospacing="0"/>
        <w:jc w:val="center"/>
        <w:rPr>
          <w:i w:val="0"/>
          <w:iCs/>
          <w:color w:val="auto"/>
          <w:highlight w:val="none"/>
        </w:rPr>
      </w:pPr>
    </w:p>
    <w:p w14:paraId="39877613">
      <w:pPr>
        <w:pStyle w:val="15"/>
        <w:spacing w:beforeAutospacing="0" w:afterAutospacing="0"/>
        <w:jc w:val="center"/>
        <w:rPr>
          <w:i w:val="0"/>
          <w:iCs/>
          <w:color w:val="auto"/>
          <w:highlight w:val="none"/>
        </w:rPr>
      </w:pPr>
      <w:r>
        <w:rPr>
          <w:i w:val="0"/>
          <w:iCs/>
          <w:color w:val="auto"/>
          <w:highlight w:val="none"/>
        </w:rPr>
        <w:t> </w:t>
      </w:r>
    </w:p>
    <w:p w14:paraId="6E0E7E6F">
      <w:pPr>
        <w:pStyle w:val="15"/>
        <w:spacing w:beforeAutospacing="0" w:afterAutospacing="0"/>
        <w:jc w:val="center"/>
        <w:rPr>
          <w:i w:val="0"/>
          <w:iCs/>
          <w:color w:val="auto"/>
          <w:highlight w:val="none"/>
        </w:rPr>
      </w:pPr>
      <w:r>
        <w:rPr>
          <w:i w:val="0"/>
          <w:iCs/>
          <w:color w:val="auto"/>
          <w:highlight w:val="none"/>
        </w:rPr>
        <w:t> </w:t>
      </w:r>
    </w:p>
    <w:p w14:paraId="451A428D">
      <w:pPr>
        <w:pStyle w:val="15"/>
        <w:spacing w:beforeAutospacing="0" w:afterAutospacing="0"/>
        <w:jc w:val="center"/>
        <w:rPr>
          <w:i w:val="0"/>
          <w:iCs/>
          <w:color w:val="auto"/>
          <w:highlight w:val="none"/>
        </w:rPr>
      </w:pPr>
      <w:r>
        <w:rPr>
          <w:i w:val="0"/>
          <w:iCs/>
          <w:color w:val="auto"/>
          <w:highlight w:val="none"/>
        </w:rPr>
        <w:t> </w:t>
      </w:r>
    </w:p>
    <w:p w14:paraId="4A42A598">
      <w:pPr>
        <w:pStyle w:val="15"/>
        <w:spacing w:beforeAutospacing="0" w:afterAutospacing="0"/>
        <w:jc w:val="center"/>
        <w:rPr>
          <w:i w:val="0"/>
          <w:iCs/>
          <w:color w:val="auto"/>
          <w:highlight w:val="none"/>
        </w:rPr>
      </w:pPr>
      <w:r>
        <w:rPr>
          <w:i w:val="0"/>
          <w:iCs/>
          <w:color w:val="auto"/>
          <w:highlight w:val="none"/>
        </w:rPr>
        <w:t> </w:t>
      </w:r>
    </w:p>
    <w:p w14:paraId="259F7DF5">
      <w:pPr>
        <w:pStyle w:val="15"/>
        <w:spacing w:beforeAutospacing="0" w:afterAutospacing="0"/>
        <w:jc w:val="center"/>
        <w:rPr>
          <w:i w:val="0"/>
          <w:iCs/>
          <w:color w:val="auto"/>
          <w:highlight w:val="none"/>
        </w:rPr>
      </w:pPr>
      <w:r>
        <w:rPr>
          <w:i w:val="0"/>
          <w:iCs/>
          <w:color w:val="auto"/>
          <w:highlight w:val="none"/>
        </w:rPr>
        <w:t> </w:t>
      </w:r>
    </w:p>
    <w:p w14:paraId="1726E451">
      <w:pPr>
        <w:pStyle w:val="15"/>
        <w:spacing w:beforeAutospacing="0" w:afterAutospacing="0"/>
        <w:jc w:val="both"/>
        <w:rPr>
          <w:i w:val="0"/>
          <w:iCs/>
          <w:color w:val="auto"/>
          <w:highlight w:val="none"/>
        </w:rPr>
      </w:pPr>
      <w:r>
        <w:rPr>
          <w:i w:val="0"/>
          <w:iCs/>
          <w:color w:val="auto"/>
          <w:highlight w:val="none"/>
        </w:rPr>
        <w:t> </w:t>
      </w:r>
    </w:p>
    <w:p w14:paraId="17665181">
      <w:pPr>
        <w:rPr>
          <w:rFonts w:hint="eastAsia" w:ascii="宋体" w:hAnsi="宋体" w:eastAsia="宋体" w:cs="宋体"/>
          <w:i w:val="0"/>
          <w:iCs/>
          <w:color w:val="auto"/>
          <w:sz w:val="32"/>
          <w:szCs w:val="32"/>
          <w:highlight w:val="none"/>
        </w:rPr>
      </w:pPr>
      <w:r>
        <w:rPr>
          <w:rFonts w:hint="eastAsia" w:ascii="宋体" w:hAnsi="宋体" w:eastAsia="宋体" w:cs="宋体"/>
          <w:i w:val="0"/>
          <w:iCs/>
          <w:color w:val="auto"/>
          <w:sz w:val="32"/>
          <w:szCs w:val="32"/>
          <w:highlight w:val="none"/>
        </w:rPr>
        <w:br w:type="page"/>
      </w:r>
    </w:p>
    <w:p w14:paraId="717F6702">
      <w:pPr>
        <w:spacing w:line="360" w:lineRule="auto"/>
        <w:jc w:val="center"/>
        <w:rPr>
          <w:rFonts w:hint="eastAsia" w:ascii="黑体" w:hAnsi="宋体" w:eastAsia="黑体" w:cs="黑体"/>
          <w:b/>
          <w:i w:val="0"/>
          <w:iCs/>
          <w:color w:val="auto"/>
          <w:sz w:val="44"/>
          <w:szCs w:val="44"/>
          <w:highlight w:val="none"/>
          <w:u w:val="none"/>
        </w:rPr>
      </w:pPr>
      <w:r>
        <w:rPr>
          <w:rFonts w:hint="eastAsia" w:ascii="黑体" w:hAnsi="宋体" w:eastAsia="黑体" w:cs="黑体"/>
          <w:b/>
          <w:i w:val="0"/>
          <w:iCs/>
          <w:color w:val="auto"/>
          <w:sz w:val="44"/>
          <w:szCs w:val="44"/>
          <w:highlight w:val="none"/>
          <w:u w:val="none"/>
        </w:rPr>
        <w:t>十</w:t>
      </w:r>
      <w:r>
        <w:rPr>
          <w:rFonts w:hint="eastAsia" w:ascii="黑体" w:hAnsi="宋体" w:eastAsia="黑体" w:cs="黑体"/>
          <w:b/>
          <w:i w:val="0"/>
          <w:iCs/>
          <w:color w:val="auto"/>
          <w:sz w:val="44"/>
          <w:szCs w:val="44"/>
          <w:highlight w:val="none"/>
          <w:u w:val="none"/>
          <w:lang w:val="en-US" w:eastAsia="zh-CN"/>
        </w:rPr>
        <w:t>五</w:t>
      </w:r>
      <w:r>
        <w:rPr>
          <w:rFonts w:hint="eastAsia" w:ascii="黑体" w:hAnsi="宋体" w:eastAsia="黑体" w:cs="黑体"/>
          <w:b/>
          <w:i w:val="0"/>
          <w:iCs/>
          <w:color w:val="auto"/>
          <w:sz w:val="44"/>
          <w:szCs w:val="44"/>
          <w:highlight w:val="none"/>
          <w:u w:val="none"/>
        </w:rPr>
        <w:t>、实施方案</w:t>
      </w:r>
    </w:p>
    <w:p w14:paraId="29D1AF51">
      <w:pPr>
        <w:widowControl/>
        <w:spacing w:before="50" w:after="50"/>
        <w:jc w:val="center"/>
        <w:rPr>
          <w:i w:val="0"/>
          <w:iCs/>
          <w:highlight w:val="none"/>
        </w:rPr>
      </w:pPr>
      <w:r>
        <w:rPr>
          <w:i w:val="0"/>
          <w:iCs/>
          <w:highlight w:val="none"/>
        </w:rPr>
        <w:tab/>
      </w:r>
    </w:p>
    <w:p w14:paraId="32A3A5EB">
      <w:pPr>
        <w:widowControl/>
        <w:spacing w:before="50" w:after="50"/>
        <w:jc w:val="center"/>
        <w:rPr>
          <w:rFonts w:hint="eastAsia" w:ascii="黑体" w:hAnsi="宋体" w:eastAsia="黑体" w:cs="黑体"/>
          <w:b/>
          <w:i w:val="0"/>
          <w:iCs/>
          <w:color w:val="auto"/>
          <w:kern w:val="0"/>
          <w:sz w:val="32"/>
          <w:szCs w:val="32"/>
          <w:highlight w:val="none"/>
          <w:lang w:val="en-US" w:eastAsia="zh-CN" w:bidi="ar-SA"/>
        </w:rPr>
      </w:pPr>
    </w:p>
    <w:p w14:paraId="3A0616EF">
      <w:pPr>
        <w:widowControl/>
        <w:spacing w:before="50" w:after="50"/>
        <w:jc w:val="center"/>
        <w:rPr>
          <w:rFonts w:hint="eastAsia" w:ascii="黑体" w:hAnsi="宋体" w:eastAsia="黑体" w:cs="黑体"/>
          <w:b/>
          <w:i w:val="0"/>
          <w:iCs/>
          <w:color w:val="auto"/>
          <w:kern w:val="0"/>
          <w:sz w:val="32"/>
          <w:szCs w:val="32"/>
          <w:highlight w:val="none"/>
          <w:lang w:val="en-US" w:eastAsia="zh-CN" w:bidi="ar-SA"/>
        </w:rPr>
      </w:pPr>
    </w:p>
    <w:p w14:paraId="1B023FD6">
      <w:pPr>
        <w:widowControl/>
        <w:spacing w:before="50" w:after="50"/>
        <w:jc w:val="center"/>
        <w:rPr>
          <w:rFonts w:hint="eastAsia" w:ascii="黑体" w:hAnsi="宋体" w:eastAsia="黑体" w:cs="黑体"/>
          <w:b/>
          <w:i w:val="0"/>
          <w:iCs/>
          <w:color w:val="auto"/>
          <w:kern w:val="0"/>
          <w:sz w:val="32"/>
          <w:szCs w:val="32"/>
          <w:highlight w:val="none"/>
          <w:lang w:val="en-US" w:eastAsia="zh-CN" w:bidi="ar-SA"/>
        </w:rPr>
      </w:pPr>
    </w:p>
    <w:p w14:paraId="28D9935E">
      <w:pPr>
        <w:pStyle w:val="15"/>
        <w:tabs>
          <w:tab w:val="left" w:pos="2160"/>
        </w:tabs>
        <w:spacing w:beforeAutospacing="0" w:afterAutospacing="0"/>
        <w:jc w:val="both"/>
        <w:rPr>
          <w:i w:val="0"/>
          <w:iCs/>
          <w:color w:val="auto"/>
          <w:highlight w:val="none"/>
        </w:rPr>
      </w:pPr>
    </w:p>
    <w:p w14:paraId="02F9CD0D">
      <w:pPr>
        <w:widowControl/>
        <w:spacing w:line="499" w:lineRule="atLeast"/>
        <w:ind w:firstLine="1600"/>
        <w:rPr>
          <w:rFonts w:ascii="宋体" w:hAnsi="宋体" w:eastAsia="宋体" w:cs="宋体"/>
          <w:i w:val="0"/>
          <w:iCs/>
          <w:color w:val="auto"/>
          <w:sz w:val="32"/>
          <w:szCs w:val="32"/>
          <w:highlight w:val="none"/>
        </w:rPr>
      </w:pPr>
    </w:p>
    <w:p w14:paraId="7AA19623">
      <w:pPr>
        <w:widowControl/>
        <w:spacing w:line="499" w:lineRule="atLeast"/>
        <w:ind w:firstLine="1600"/>
        <w:rPr>
          <w:rFonts w:ascii="宋体" w:hAnsi="宋体" w:eastAsia="宋体" w:cs="宋体"/>
          <w:i w:val="0"/>
          <w:iCs/>
          <w:color w:val="auto"/>
          <w:sz w:val="32"/>
          <w:szCs w:val="32"/>
          <w:highlight w:val="none"/>
        </w:rPr>
      </w:pPr>
    </w:p>
    <w:p w14:paraId="31658210">
      <w:pPr>
        <w:widowControl/>
        <w:spacing w:line="499" w:lineRule="atLeast"/>
        <w:ind w:firstLine="1600"/>
        <w:rPr>
          <w:rFonts w:ascii="宋体" w:hAnsi="宋体" w:eastAsia="宋体" w:cs="宋体"/>
          <w:i w:val="0"/>
          <w:iCs/>
          <w:color w:val="auto"/>
          <w:sz w:val="32"/>
          <w:szCs w:val="32"/>
          <w:highlight w:val="none"/>
        </w:rPr>
      </w:pPr>
    </w:p>
    <w:p w14:paraId="6BC32E43">
      <w:pPr>
        <w:widowControl/>
        <w:spacing w:line="499" w:lineRule="atLeast"/>
        <w:ind w:firstLine="1600"/>
        <w:rPr>
          <w:rFonts w:ascii="宋体" w:hAnsi="宋体" w:eastAsia="宋体" w:cs="宋体"/>
          <w:i w:val="0"/>
          <w:iCs/>
          <w:color w:val="auto"/>
          <w:sz w:val="32"/>
          <w:szCs w:val="32"/>
          <w:highlight w:val="none"/>
        </w:rPr>
      </w:pPr>
    </w:p>
    <w:p w14:paraId="3C68865B">
      <w:pPr>
        <w:widowControl/>
        <w:spacing w:line="499" w:lineRule="atLeast"/>
        <w:ind w:firstLine="1600"/>
        <w:rPr>
          <w:rFonts w:ascii="宋体" w:hAnsi="宋体" w:eastAsia="宋体" w:cs="宋体"/>
          <w:i w:val="0"/>
          <w:iCs/>
          <w:color w:val="auto"/>
          <w:sz w:val="32"/>
          <w:szCs w:val="32"/>
          <w:highlight w:val="none"/>
        </w:rPr>
      </w:pPr>
    </w:p>
    <w:p w14:paraId="58C8BDB0">
      <w:pPr>
        <w:widowControl/>
        <w:spacing w:line="499" w:lineRule="atLeast"/>
        <w:ind w:firstLine="1600"/>
        <w:rPr>
          <w:rFonts w:ascii="宋体" w:hAnsi="宋体" w:eastAsia="宋体" w:cs="宋体"/>
          <w:i w:val="0"/>
          <w:iCs/>
          <w:color w:val="auto"/>
          <w:sz w:val="32"/>
          <w:szCs w:val="32"/>
          <w:highlight w:val="none"/>
        </w:rPr>
      </w:pPr>
    </w:p>
    <w:p w14:paraId="593A446F">
      <w:pPr>
        <w:widowControl/>
        <w:spacing w:line="499" w:lineRule="atLeast"/>
        <w:ind w:firstLine="1600"/>
        <w:rPr>
          <w:rFonts w:ascii="宋体" w:hAnsi="宋体" w:eastAsia="宋体" w:cs="宋体"/>
          <w:i w:val="0"/>
          <w:iCs/>
          <w:color w:val="auto"/>
          <w:sz w:val="32"/>
          <w:szCs w:val="32"/>
          <w:highlight w:val="none"/>
        </w:rPr>
      </w:pPr>
    </w:p>
    <w:p w14:paraId="07794BED">
      <w:pPr>
        <w:widowControl/>
        <w:spacing w:line="499" w:lineRule="atLeast"/>
        <w:ind w:firstLine="1600"/>
        <w:rPr>
          <w:rFonts w:ascii="宋体" w:hAnsi="宋体" w:eastAsia="宋体" w:cs="宋体"/>
          <w:i w:val="0"/>
          <w:iCs/>
          <w:color w:val="auto"/>
          <w:sz w:val="32"/>
          <w:szCs w:val="32"/>
          <w:highlight w:val="none"/>
        </w:rPr>
      </w:pPr>
    </w:p>
    <w:p w14:paraId="27B13C10">
      <w:pPr>
        <w:widowControl/>
        <w:spacing w:line="499" w:lineRule="atLeast"/>
        <w:ind w:firstLine="1600"/>
        <w:rPr>
          <w:rFonts w:ascii="宋体" w:hAnsi="宋体" w:eastAsia="宋体" w:cs="宋体"/>
          <w:i w:val="0"/>
          <w:iCs/>
          <w:color w:val="auto"/>
          <w:sz w:val="32"/>
          <w:szCs w:val="32"/>
          <w:highlight w:val="none"/>
        </w:rPr>
      </w:pPr>
    </w:p>
    <w:p w14:paraId="13C3A386">
      <w:pPr>
        <w:widowControl/>
        <w:spacing w:line="499" w:lineRule="atLeast"/>
        <w:ind w:firstLine="1600"/>
        <w:rPr>
          <w:rFonts w:ascii="宋体" w:hAnsi="宋体" w:eastAsia="宋体" w:cs="宋体"/>
          <w:i w:val="0"/>
          <w:iCs/>
          <w:color w:val="auto"/>
          <w:sz w:val="32"/>
          <w:szCs w:val="32"/>
          <w:highlight w:val="none"/>
        </w:rPr>
      </w:pPr>
    </w:p>
    <w:p w14:paraId="2C74F68B">
      <w:pPr>
        <w:widowControl/>
        <w:spacing w:line="499" w:lineRule="atLeast"/>
        <w:ind w:firstLine="1600"/>
        <w:rPr>
          <w:rFonts w:ascii="宋体" w:hAnsi="宋体" w:eastAsia="宋体" w:cs="宋体"/>
          <w:i w:val="0"/>
          <w:iCs/>
          <w:color w:val="auto"/>
          <w:sz w:val="32"/>
          <w:szCs w:val="32"/>
          <w:highlight w:val="none"/>
        </w:rPr>
      </w:pPr>
    </w:p>
    <w:p w14:paraId="64017080">
      <w:pPr>
        <w:widowControl/>
        <w:spacing w:line="499" w:lineRule="atLeast"/>
        <w:ind w:firstLine="1600"/>
        <w:rPr>
          <w:rFonts w:ascii="宋体" w:hAnsi="宋体" w:eastAsia="宋体" w:cs="宋体"/>
          <w:i w:val="0"/>
          <w:iCs/>
          <w:color w:val="auto"/>
          <w:sz w:val="32"/>
          <w:szCs w:val="32"/>
          <w:highlight w:val="none"/>
        </w:rPr>
      </w:pPr>
    </w:p>
    <w:p w14:paraId="3966CDFA">
      <w:pPr>
        <w:widowControl/>
        <w:spacing w:line="499" w:lineRule="atLeast"/>
        <w:ind w:firstLine="1600"/>
        <w:rPr>
          <w:rFonts w:ascii="宋体" w:hAnsi="宋体" w:eastAsia="宋体" w:cs="宋体"/>
          <w:i w:val="0"/>
          <w:iCs/>
          <w:color w:val="auto"/>
          <w:sz w:val="32"/>
          <w:szCs w:val="32"/>
          <w:highlight w:val="none"/>
        </w:rPr>
      </w:pPr>
    </w:p>
    <w:p w14:paraId="79424832">
      <w:pPr>
        <w:widowControl/>
        <w:spacing w:line="499" w:lineRule="atLeast"/>
        <w:ind w:firstLine="1600"/>
        <w:rPr>
          <w:rFonts w:ascii="宋体" w:hAnsi="宋体" w:eastAsia="宋体" w:cs="宋体"/>
          <w:i w:val="0"/>
          <w:iCs/>
          <w:color w:val="auto"/>
          <w:sz w:val="32"/>
          <w:szCs w:val="32"/>
          <w:highlight w:val="none"/>
        </w:rPr>
      </w:pPr>
    </w:p>
    <w:p w14:paraId="2AA4278C">
      <w:pPr>
        <w:widowControl/>
        <w:spacing w:line="499" w:lineRule="atLeast"/>
        <w:ind w:firstLine="1600"/>
        <w:rPr>
          <w:rFonts w:ascii="宋体" w:hAnsi="宋体" w:eastAsia="宋体" w:cs="宋体"/>
          <w:i w:val="0"/>
          <w:iCs/>
          <w:color w:val="auto"/>
          <w:sz w:val="32"/>
          <w:szCs w:val="32"/>
          <w:highlight w:val="none"/>
        </w:rPr>
      </w:pPr>
    </w:p>
    <w:p w14:paraId="0A99C98C">
      <w:pPr>
        <w:widowControl/>
        <w:spacing w:line="499" w:lineRule="atLeast"/>
        <w:ind w:firstLine="1600"/>
        <w:rPr>
          <w:rFonts w:ascii="宋体" w:hAnsi="宋体" w:eastAsia="宋体" w:cs="宋体"/>
          <w:i w:val="0"/>
          <w:iCs/>
          <w:color w:val="auto"/>
          <w:sz w:val="32"/>
          <w:szCs w:val="32"/>
          <w:highlight w:val="none"/>
        </w:rPr>
      </w:pPr>
    </w:p>
    <w:p w14:paraId="14AA607D">
      <w:pPr>
        <w:widowControl/>
        <w:spacing w:line="499" w:lineRule="atLeast"/>
        <w:ind w:firstLine="1600"/>
        <w:rPr>
          <w:rFonts w:ascii="宋体" w:hAnsi="宋体" w:eastAsia="宋体" w:cs="宋体"/>
          <w:i w:val="0"/>
          <w:iCs/>
          <w:color w:val="auto"/>
          <w:sz w:val="32"/>
          <w:szCs w:val="32"/>
          <w:highlight w:val="none"/>
        </w:rPr>
      </w:pPr>
    </w:p>
    <w:p w14:paraId="3D56904B">
      <w:pPr>
        <w:widowControl/>
        <w:spacing w:before="50" w:after="50"/>
        <w:jc w:val="center"/>
        <w:rPr>
          <w:rFonts w:ascii="宋体" w:hAnsi="宋体" w:eastAsia="宋体" w:cs="宋体"/>
          <w:i w:val="0"/>
          <w:iCs/>
          <w:color w:val="auto"/>
          <w:sz w:val="24"/>
          <w:highlight w:val="none"/>
        </w:rPr>
      </w:pPr>
      <w:r>
        <w:rPr>
          <w:rFonts w:hint="eastAsia" w:ascii="黑体" w:hAnsi="宋体" w:eastAsia="黑体" w:cs="黑体"/>
          <w:b/>
          <w:i w:val="0"/>
          <w:iCs/>
          <w:color w:val="auto"/>
          <w:kern w:val="0"/>
          <w:sz w:val="32"/>
          <w:szCs w:val="32"/>
          <w:highlight w:val="none"/>
          <w:lang w:val="en-US" w:eastAsia="zh-CN" w:bidi="ar-SA"/>
        </w:rPr>
        <w:t>十六、盐城市政府采购事前信用承诺书</w:t>
      </w:r>
      <w:r>
        <w:rPr>
          <w:rFonts w:hint="eastAsia" w:ascii="宋体" w:hAnsi="宋体" w:eastAsia="宋体" w:cs="宋体"/>
          <w:i w:val="0"/>
          <w:iCs/>
          <w:color w:val="auto"/>
          <w:sz w:val="32"/>
          <w:szCs w:val="32"/>
          <w:highlight w:val="none"/>
        </w:rPr>
        <w:t> </w:t>
      </w:r>
    </w:p>
    <w:p w14:paraId="1A73DC38">
      <w:pPr>
        <w:widowControl/>
        <w:spacing w:line="499" w:lineRule="atLeast"/>
        <w:ind w:firstLine="480"/>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为营造我市公开、公平、公正、诚实守信的政府采购交易环境，树立诚信守法的投标人形象，本人代表本单位作出以下承诺：</w:t>
      </w:r>
    </w:p>
    <w:p w14:paraId="5D78B5DD">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color w:val="auto"/>
          <w:sz w:val="24"/>
          <w:highlight w:val="none"/>
          <w:lang w:eastAsia="zh-CN"/>
        </w:rPr>
        <w:t>虚假成分</w:t>
      </w:r>
      <w:r>
        <w:rPr>
          <w:rFonts w:hint="eastAsia" w:ascii="宋体" w:hAnsi="宋体" w:eastAsia="宋体" w:cs="宋体"/>
          <w:i w:val="0"/>
          <w:iCs/>
          <w:color w:val="auto"/>
          <w:sz w:val="24"/>
          <w:highlight w:val="none"/>
        </w:rPr>
        <w:t>，并对所提供资料的真实性负责；</w:t>
      </w:r>
    </w:p>
    <w:p w14:paraId="5E36E09B">
      <w:pPr>
        <w:widowControl/>
        <w:spacing w:line="499" w:lineRule="atLeast"/>
        <w:ind w:firstLine="480"/>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03FA5BF">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   （三）严格依照国家和省、市关于政府采购的法律、法规、规章、规范性文件，参加政府采购投标活动；积极履行社会责任，促进廉政建设； </w:t>
      </w:r>
    </w:p>
    <w:p w14:paraId="6A437CFB">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（四）严格遵守即时信息公示规定，及时</w:t>
      </w:r>
      <w:r>
        <w:rPr>
          <w:rFonts w:hint="eastAsia" w:ascii="宋体" w:hAnsi="宋体" w:eastAsia="宋体" w:cs="宋体"/>
          <w:i w:val="0"/>
          <w:iCs/>
          <w:color w:val="auto"/>
          <w:sz w:val="24"/>
          <w:highlight w:val="none"/>
          <w:lang w:eastAsia="zh-CN"/>
        </w:rPr>
        <w:t>维护和更新</w:t>
      </w:r>
      <w:r>
        <w:rPr>
          <w:rFonts w:hint="eastAsia" w:ascii="宋体" w:hAnsi="宋体" w:eastAsia="宋体" w:cs="宋体"/>
          <w:i w:val="0"/>
          <w:iCs/>
          <w:color w:val="auto"/>
          <w:sz w:val="24"/>
          <w:highlight w:val="none"/>
        </w:rPr>
        <w:t>盐城市政府采购网中与本单位相关的信息；</w:t>
      </w:r>
    </w:p>
    <w:p w14:paraId="75BF0283">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1C3CDD4">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（六）自觉接受政府、行业组织、社会公众、新闻舆论的监督；</w:t>
      </w:r>
    </w:p>
    <w:p w14:paraId="3389B576">
      <w:pPr>
        <w:widowControl/>
        <w:spacing w:line="499" w:lineRule="atLeast"/>
        <w:ind w:firstLine="480"/>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6F9181E">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（八）本人已认真阅读了上述承诺，并向本单位员工作了宣传教育。</w:t>
      </w:r>
    </w:p>
    <w:p w14:paraId="66F3779A">
      <w:pPr>
        <w:widowControl/>
        <w:spacing w:line="499" w:lineRule="atLeast"/>
        <w:jc w:val="left"/>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w:t>
      </w:r>
      <w:r>
        <w:rPr>
          <w:rFonts w:hint="eastAsia" w:ascii="宋体" w:hAnsi="宋体" w:eastAsia="宋体" w:cs="宋体"/>
          <w:i w:val="0"/>
          <w:iCs/>
          <w:color w:val="auto"/>
          <w:sz w:val="24"/>
          <w:highlight w:val="none"/>
          <w:lang w:val="en-US" w:eastAsia="zh-CN"/>
        </w:rPr>
        <w:t xml:space="preserve">         </w:t>
      </w:r>
      <w:r>
        <w:rPr>
          <w:rFonts w:hint="eastAsia" w:ascii="宋体" w:hAnsi="宋体" w:eastAsia="宋体" w:cs="宋体"/>
          <w:i w:val="0"/>
          <w:iCs/>
          <w:color w:val="auto"/>
          <w:sz w:val="24"/>
          <w:highlight w:val="none"/>
        </w:rPr>
        <w:t>法定代表人签名：</w:t>
      </w:r>
    </w:p>
    <w:p w14:paraId="204A50F5">
      <w:pPr>
        <w:widowControl/>
        <w:spacing w:line="499" w:lineRule="atLeast"/>
        <w:jc w:val="center"/>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单位名称（CA签章）：</w:t>
      </w:r>
    </w:p>
    <w:p w14:paraId="69E80341">
      <w:pPr>
        <w:widowControl/>
        <w:spacing w:line="499" w:lineRule="atLeast"/>
        <w:jc w:val="center"/>
        <w:rPr>
          <w:rFonts w:ascii="宋体" w:hAnsi="宋体" w:eastAsia="宋体" w:cs="宋体"/>
          <w:i w:val="0"/>
          <w:iCs/>
          <w:color w:val="auto"/>
          <w:sz w:val="24"/>
          <w:highlight w:val="none"/>
        </w:rPr>
      </w:pPr>
      <w:r>
        <w:rPr>
          <w:rFonts w:hint="eastAsia" w:ascii="宋体" w:hAnsi="宋体" w:eastAsia="宋体" w:cs="宋体"/>
          <w:i w:val="0"/>
          <w:iCs/>
          <w:color w:val="auto"/>
          <w:sz w:val="24"/>
          <w:highlight w:val="none"/>
        </w:rPr>
        <w:t>                      年月日</w:t>
      </w:r>
    </w:p>
    <w:p w14:paraId="22DA320C">
      <w:pPr>
        <w:pStyle w:val="15"/>
        <w:spacing w:beforeAutospacing="0" w:afterAutospacing="0"/>
        <w:jc w:val="center"/>
        <w:rPr>
          <w:i w:val="0"/>
          <w:iCs/>
          <w:color w:val="auto"/>
          <w:highlight w:val="none"/>
        </w:rPr>
      </w:pPr>
    </w:p>
    <w:p w14:paraId="58E58F66">
      <w:pPr>
        <w:rPr>
          <w:i w:val="0"/>
          <w:iCs/>
          <w:color w:val="auto"/>
          <w:highlight w:val="none"/>
        </w:rPr>
      </w:pPr>
    </w:p>
    <w:p w14:paraId="4D2DF8E1">
      <w:pPr>
        <w:spacing w:line="360" w:lineRule="auto"/>
        <w:jc w:val="center"/>
        <w:rPr>
          <w:rFonts w:hint="eastAsia" w:ascii="宋体" w:hAnsi="宋体" w:cs="宋体"/>
          <w:b/>
          <w:bCs/>
          <w:color w:val="000000" w:themeColor="text1"/>
          <w:sz w:val="36"/>
          <w:szCs w:val="36"/>
          <w14:textFill>
            <w14:solidFill>
              <w14:schemeClr w14:val="tx1"/>
            </w14:solidFill>
          </w14:textFill>
        </w:rPr>
      </w:pPr>
    </w:p>
    <w:p w14:paraId="323FC416">
      <w:pPr>
        <w:spacing w:line="360" w:lineRule="auto"/>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十七、供应商认为需要提供的其他证明材料</w:t>
      </w:r>
    </w:p>
    <w:p w14:paraId="52AD8280">
      <w:pPr>
        <w:pStyle w:val="15"/>
        <w:spacing w:beforeAutospacing="0" w:afterAutospacing="0"/>
        <w:jc w:val="center"/>
        <w:rPr>
          <w:rFonts w:hint="eastAsia" w:ascii="宋体" w:hAnsi="宋体" w:eastAsia="宋体" w:cs="宋体"/>
          <w:b/>
          <w:i w:val="0"/>
          <w:iCs/>
          <w:color w:val="auto"/>
          <w:sz w:val="32"/>
          <w:szCs w:val="32"/>
          <w:highlight w:val="none"/>
        </w:rPr>
      </w:pPr>
    </w:p>
    <w:p w14:paraId="17FA8E95">
      <w:pPr>
        <w:pStyle w:val="15"/>
        <w:spacing w:beforeAutospacing="0" w:afterAutospacing="0"/>
        <w:jc w:val="center"/>
        <w:rPr>
          <w:rFonts w:hint="eastAsia" w:ascii="宋体" w:hAnsi="宋体" w:eastAsia="宋体" w:cs="宋体"/>
          <w:b/>
          <w:i w:val="0"/>
          <w:iCs/>
          <w:color w:val="auto"/>
          <w:sz w:val="32"/>
          <w:szCs w:val="32"/>
          <w:highlight w:val="none"/>
        </w:rPr>
      </w:pPr>
    </w:p>
    <w:p w14:paraId="0A99733C">
      <w:pPr>
        <w:pStyle w:val="15"/>
        <w:spacing w:beforeAutospacing="0" w:afterAutospacing="0"/>
        <w:jc w:val="center"/>
        <w:rPr>
          <w:rFonts w:hint="eastAsia" w:ascii="宋体" w:hAnsi="宋体" w:eastAsia="宋体" w:cs="宋体"/>
          <w:b/>
          <w:i w:val="0"/>
          <w:iCs/>
          <w:color w:val="auto"/>
          <w:sz w:val="32"/>
          <w:szCs w:val="32"/>
          <w:highlight w:val="none"/>
        </w:rPr>
      </w:pPr>
    </w:p>
    <w:p w14:paraId="157FDA2F">
      <w:pPr>
        <w:pStyle w:val="15"/>
        <w:spacing w:beforeAutospacing="0" w:afterAutospacing="0"/>
        <w:jc w:val="center"/>
        <w:rPr>
          <w:rFonts w:hint="eastAsia" w:ascii="宋体" w:hAnsi="宋体" w:eastAsia="宋体" w:cs="宋体"/>
          <w:b/>
          <w:i w:val="0"/>
          <w:iCs/>
          <w:color w:val="auto"/>
          <w:sz w:val="32"/>
          <w:szCs w:val="32"/>
          <w:highlight w:val="none"/>
        </w:rPr>
      </w:pPr>
    </w:p>
    <w:p w14:paraId="3A81B3EB">
      <w:pPr>
        <w:pStyle w:val="15"/>
        <w:spacing w:beforeAutospacing="0" w:afterAutospacing="0"/>
        <w:jc w:val="center"/>
        <w:rPr>
          <w:rFonts w:hint="eastAsia" w:ascii="宋体" w:hAnsi="宋体" w:eastAsia="宋体" w:cs="宋体"/>
          <w:b/>
          <w:i w:val="0"/>
          <w:iCs/>
          <w:color w:val="auto"/>
          <w:sz w:val="32"/>
          <w:szCs w:val="32"/>
          <w:highlight w:val="none"/>
        </w:rPr>
      </w:pPr>
    </w:p>
    <w:p w14:paraId="209CBEFD">
      <w:pPr>
        <w:pStyle w:val="15"/>
        <w:spacing w:beforeAutospacing="0" w:afterAutospacing="0"/>
        <w:jc w:val="center"/>
        <w:rPr>
          <w:rFonts w:hint="eastAsia" w:ascii="宋体" w:hAnsi="宋体" w:eastAsia="宋体" w:cs="宋体"/>
          <w:b/>
          <w:i w:val="0"/>
          <w:iCs/>
          <w:color w:val="auto"/>
          <w:sz w:val="32"/>
          <w:szCs w:val="32"/>
          <w:highlight w:val="none"/>
        </w:rPr>
      </w:pPr>
    </w:p>
    <w:p w14:paraId="2BAB2496">
      <w:pPr>
        <w:pStyle w:val="15"/>
        <w:spacing w:beforeAutospacing="0" w:afterAutospacing="0"/>
        <w:jc w:val="center"/>
        <w:rPr>
          <w:rFonts w:hint="eastAsia" w:ascii="宋体" w:hAnsi="宋体" w:eastAsia="宋体" w:cs="宋体"/>
          <w:b/>
          <w:i w:val="0"/>
          <w:iCs/>
          <w:color w:val="auto"/>
          <w:sz w:val="32"/>
          <w:szCs w:val="32"/>
          <w:highlight w:val="none"/>
        </w:rPr>
      </w:pPr>
    </w:p>
    <w:p w14:paraId="1569A710">
      <w:pPr>
        <w:pStyle w:val="15"/>
        <w:spacing w:beforeAutospacing="0" w:afterAutospacing="0"/>
        <w:jc w:val="center"/>
        <w:rPr>
          <w:rFonts w:hint="eastAsia" w:ascii="宋体" w:hAnsi="宋体" w:eastAsia="宋体" w:cs="宋体"/>
          <w:b/>
          <w:i w:val="0"/>
          <w:iCs/>
          <w:color w:val="auto"/>
          <w:sz w:val="32"/>
          <w:szCs w:val="32"/>
          <w:highlight w:val="none"/>
        </w:rPr>
      </w:pPr>
    </w:p>
    <w:p w14:paraId="6495E70E">
      <w:pPr>
        <w:pStyle w:val="15"/>
        <w:spacing w:beforeAutospacing="0" w:afterAutospacing="0"/>
        <w:jc w:val="center"/>
        <w:rPr>
          <w:rFonts w:hint="eastAsia" w:ascii="宋体" w:hAnsi="宋体" w:eastAsia="宋体" w:cs="宋体"/>
          <w:b/>
          <w:i w:val="0"/>
          <w:iCs/>
          <w:color w:val="auto"/>
          <w:sz w:val="32"/>
          <w:szCs w:val="32"/>
          <w:highlight w:val="none"/>
        </w:rPr>
      </w:pPr>
    </w:p>
    <w:p w14:paraId="7C71CC52">
      <w:pPr>
        <w:pStyle w:val="15"/>
        <w:spacing w:beforeAutospacing="0" w:afterAutospacing="0"/>
        <w:jc w:val="center"/>
        <w:rPr>
          <w:rFonts w:hint="eastAsia" w:ascii="宋体" w:hAnsi="宋体" w:eastAsia="宋体" w:cs="宋体"/>
          <w:b/>
          <w:i w:val="0"/>
          <w:iCs/>
          <w:color w:val="auto"/>
          <w:sz w:val="32"/>
          <w:szCs w:val="32"/>
          <w:highlight w:val="none"/>
        </w:rPr>
      </w:pPr>
    </w:p>
    <w:p w14:paraId="39FDE29A">
      <w:pPr>
        <w:pStyle w:val="15"/>
        <w:spacing w:beforeAutospacing="0" w:afterAutospacing="0"/>
        <w:jc w:val="center"/>
        <w:rPr>
          <w:rFonts w:hint="eastAsia" w:ascii="宋体" w:hAnsi="宋体" w:eastAsia="宋体" w:cs="宋体"/>
          <w:b/>
          <w:i w:val="0"/>
          <w:iCs/>
          <w:color w:val="auto"/>
          <w:sz w:val="32"/>
          <w:szCs w:val="32"/>
          <w:highlight w:val="none"/>
        </w:rPr>
      </w:pPr>
    </w:p>
    <w:p w14:paraId="294231DF">
      <w:pPr>
        <w:pStyle w:val="15"/>
        <w:spacing w:beforeAutospacing="0" w:afterAutospacing="0"/>
        <w:jc w:val="center"/>
        <w:rPr>
          <w:rFonts w:hint="eastAsia" w:ascii="宋体" w:hAnsi="宋体" w:eastAsia="宋体" w:cs="宋体"/>
          <w:b/>
          <w:i w:val="0"/>
          <w:iCs/>
          <w:color w:val="auto"/>
          <w:sz w:val="32"/>
          <w:szCs w:val="32"/>
          <w:highlight w:val="none"/>
        </w:rPr>
      </w:pPr>
    </w:p>
    <w:p w14:paraId="6BC2F0F8">
      <w:pPr>
        <w:pStyle w:val="15"/>
        <w:spacing w:beforeAutospacing="0" w:afterAutospacing="0"/>
        <w:jc w:val="center"/>
        <w:rPr>
          <w:rFonts w:hint="eastAsia" w:ascii="宋体" w:hAnsi="宋体" w:eastAsia="宋体" w:cs="宋体"/>
          <w:b/>
          <w:i w:val="0"/>
          <w:iCs/>
          <w:color w:val="auto"/>
          <w:sz w:val="32"/>
          <w:szCs w:val="32"/>
          <w:highlight w:val="none"/>
        </w:rPr>
      </w:pPr>
    </w:p>
    <w:p w14:paraId="4B10F299">
      <w:pPr>
        <w:pStyle w:val="15"/>
        <w:spacing w:beforeAutospacing="0" w:afterAutospacing="0"/>
        <w:jc w:val="center"/>
        <w:rPr>
          <w:rFonts w:hint="eastAsia" w:ascii="宋体" w:hAnsi="宋体" w:eastAsia="宋体" w:cs="宋体"/>
          <w:b/>
          <w:i w:val="0"/>
          <w:iCs/>
          <w:color w:val="auto"/>
          <w:sz w:val="32"/>
          <w:szCs w:val="32"/>
          <w:highlight w:val="none"/>
        </w:rPr>
      </w:pPr>
    </w:p>
    <w:p w14:paraId="2288B6A9">
      <w:pPr>
        <w:pStyle w:val="15"/>
        <w:spacing w:beforeAutospacing="0" w:afterAutospacing="0"/>
        <w:jc w:val="center"/>
        <w:rPr>
          <w:rFonts w:hint="eastAsia" w:ascii="宋体" w:hAnsi="宋体" w:eastAsia="宋体" w:cs="宋体"/>
          <w:b/>
          <w:i w:val="0"/>
          <w:iCs/>
          <w:color w:val="auto"/>
          <w:sz w:val="32"/>
          <w:szCs w:val="32"/>
          <w:highlight w:val="none"/>
        </w:rPr>
      </w:pPr>
    </w:p>
    <w:p w14:paraId="6D421860">
      <w:pPr>
        <w:pStyle w:val="15"/>
        <w:spacing w:beforeAutospacing="0" w:afterAutospacing="0"/>
        <w:jc w:val="center"/>
        <w:rPr>
          <w:rFonts w:hint="eastAsia" w:ascii="宋体" w:hAnsi="宋体" w:eastAsia="宋体" w:cs="宋体"/>
          <w:b/>
          <w:i w:val="0"/>
          <w:iCs/>
          <w:color w:val="auto"/>
          <w:sz w:val="32"/>
          <w:szCs w:val="32"/>
          <w:highlight w:val="none"/>
        </w:rPr>
      </w:pPr>
    </w:p>
    <w:p w14:paraId="319D9E5B">
      <w:pPr>
        <w:pStyle w:val="15"/>
        <w:spacing w:beforeAutospacing="0" w:afterAutospacing="0"/>
        <w:jc w:val="center"/>
        <w:rPr>
          <w:rFonts w:hint="eastAsia" w:ascii="宋体" w:hAnsi="宋体" w:eastAsia="宋体" w:cs="宋体"/>
          <w:b/>
          <w:i w:val="0"/>
          <w:iCs/>
          <w:color w:val="auto"/>
          <w:sz w:val="32"/>
          <w:szCs w:val="32"/>
          <w:highlight w:val="none"/>
        </w:rPr>
      </w:pPr>
    </w:p>
    <w:p w14:paraId="16AE0576">
      <w:pPr>
        <w:pStyle w:val="15"/>
        <w:spacing w:beforeAutospacing="0" w:afterAutospacing="0"/>
        <w:jc w:val="center"/>
        <w:rPr>
          <w:rFonts w:hint="eastAsia" w:ascii="宋体" w:hAnsi="宋体" w:eastAsia="宋体" w:cs="宋体"/>
          <w:b/>
          <w:i w:val="0"/>
          <w:iCs/>
          <w:color w:val="auto"/>
          <w:sz w:val="32"/>
          <w:szCs w:val="32"/>
          <w:highlight w:val="none"/>
        </w:rPr>
      </w:pPr>
    </w:p>
    <w:p w14:paraId="2BA83F93">
      <w:pPr>
        <w:pStyle w:val="15"/>
        <w:spacing w:beforeAutospacing="0" w:afterAutospacing="0"/>
        <w:jc w:val="center"/>
        <w:rPr>
          <w:rFonts w:hint="eastAsia" w:ascii="宋体" w:hAnsi="宋体" w:eastAsia="宋体" w:cs="宋体"/>
          <w:b/>
          <w:i w:val="0"/>
          <w:iCs/>
          <w:color w:val="auto"/>
          <w:sz w:val="32"/>
          <w:szCs w:val="32"/>
          <w:highlight w:val="none"/>
        </w:rPr>
      </w:pPr>
    </w:p>
    <w:p w14:paraId="1C916C42">
      <w:pPr>
        <w:pStyle w:val="15"/>
        <w:spacing w:beforeAutospacing="0" w:afterAutospacing="0"/>
        <w:jc w:val="center"/>
        <w:rPr>
          <w:rFonts w:hint="eastAsia" w:ascii="宋体" w:hAnsi="宋体" w:eastAsia="宋体" w:cs="宋体"/>
          <w:b/>
          <w:i w:val="0"/>
          <w:iCs/>
          <w:color w:val="auto"/>
          <w:sz w:val="32"/>
          <w:szCs w:val="32"/>
          <w:highlight w:val="none"/>
        </w:rPr>
      </w:pPr>
    </w:p>
    <w:p w14:paraId="49DB27B3">
      <w:pPr>
        <w:pStyle w:val="15"/>
        <w:spacing w:beforeAutospacing="0" w:afterAutospacing="0"/>
        <w:jc w:val="center"/>
        <w:rPr>
          <w:rFonts w:hint="eastAsia" w:ascii="宋体" w:hAnsi="宋体" w:eastAsia="宋体" w:cs="宋体"/>
          <w:b/>
          <w:i w:val="0"/>
          <w:iCs/>
          <w:color w:val="auto"/>
          <w:sz w:val="32"/>
          <w:szCs w:val="32"/>
          <w:highlight w:val="none"/>
        </w:rPr>
      </w:pPr>
    </w:p>
    <w:p w14:paraId="7A39BF98">
      <w:pPr>
        <w:pStyle w:val="15"/>
        <w:spacing w:beforeAutospacing="0" w:afterAutospacing="0"/>
        <w:jc w:val="center"/>
        <w:rPr>
          <w:rFonts w:ascii="宋体" w:hAnsi="宋体" w:eastAsia="宋体" w:cs="宋体"/>
          <w:b/>
          <w:i w:val="0"/>
          <w:iCs/>
          <w:color w:val="auto"/>
          <w:sz w:val="32"/>
          <w:szCs w:val="32"/>
          <w:highlight w:val="none"/>
        </w:rPr>
      </w:pPr>
      <w:r>
        <w:rPr>
          <w:rFonts w:hint="eastAsia" w:ascii="宋体" w:hAnsi="宋体" w:eastAsia="宋体" w:cs="宋体"/>
          <w:b/>
          <w:i w:val="0"/>
          <w:iCs/>
          <w:color w:val="auto"/>
          <w:sz w:val="32"/>
          <w:szCs w:val="32"/>
          <w:highlight w:val="none"/>
        </w:rPr>
        <w:t>质疑函范本</w:t>
      </w:r>
    </w:p>
    <w:p w14:paraId="386628B6">
      <w:pPr>
        <w:pStyle w:val="15"/>
        <w:spacing w:before="290"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一、质疑供应商基本信息</w:t>
      </w:r>
    </w:p>
    <w:p w14:paraId="31CCB093">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质疑供应商：</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0B27368C">
      <w:pPr>
        <w:pStyle w:val="15"/>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地址：</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w:t>
      </w:r>
    </w:p>
    <w:p w14:paraId="1A3DD351">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邮编：</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28DFFD04">
      <w:pPr>
        <w:pStyle w:val="15"/>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联系人：</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4B68A9BB">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联系电话：</w:t>
      </w:r>
      <w:r>
        <w:rPr>
          <w:rFonts w:hint="eastAsia" w:ascii="宋体" w:hAnsi="宋体" w:eastAsia="宋体" w:cs="宋体"/>
          <w:i w:val="0"/>
          <w:iCs/>
          <w:color w:val="auto"/>
          <w:highlight w:val="none"/>
          <w:u w:val="single"/>
        </w:rPr>
        <w:t xml:space="preserve">                                           </w:t>
      </w:r>
    </w:p>
    <w:p w14:paraId="4B52E9FC">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授权代表：</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15C6DE67">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联系电话：</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4845BA02">
      <w:pPr>
        <w:pStyle w:val="15"/>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地址： </w:t>
      </w:r>
      <w:r>
        <w:rPr>
          <w:rFonts w:hint="eastAsia" w:ascii="宋体" w:hAnsi="宋体" w:eastAsia="宋体" w:cs="宋体"/>
          <w:i w:val="0"/>
          <w:iCs/>
          <w:color w:val="auto"/>
          <w:highlight w:val="none"/>
          <w:u w:val="single"/>
        </w:rPr>
        <w:t>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5B924261">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邮编：</w:t>
      </w:r>
      <w:r>
        <w:rPr>
          <w:rFonts w:hint="eastAsia" w:ascii="宋体" w:hAnsi="宋体" w:eastAsia="宋体" w:cs="宋体"/>
          <w:i w:val="0"/>
          <w:iCs/>
          <w:color w:val="auto"/>
          <w:highlight w:val="none"/>
          <w:u w:val="single"/>
        </w:rPr>
        <w:t xml:space="preserve">                                </w:t>
      </w:r>
    </w:p>
    <w:p w14:paraId="5A2FDD54">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二、质疑项目基本情况</w:t>
      </w:r>
    </w:p>
    <w:p w14:paraId="726433BD">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质疑项目的名称：</w:t>
      </w:r>
      <w:r>
        <w:rPr>
          <w:rFonts w:hint="eastAsia" w:ascii="宋体" w:hAnsi="宋体" w:eastAsia="宋体" w:cs="宋体"/>
          <w:i w:val="0"/>
          <w:iCs/>
          <w:color w:val="auto"/>
          <w:highlight w:val="none"/>
          <w:u w:val="single"/>
        </w:rPr>
        <w:t xml:space="preserve">                            </w:t>
      </w:r>
    </w:p>
    <w:p w14:paraId="09AE9929">
      <w:pPr>
        <w:pStyle w:val="15"/>
        <w:spacing w:beforeAutospacing="0" w:afterAutospacing="0" w:line="360" w:lineRule="auto"/>
        <w:jc w:val="both"/>
        <w:rPr>
          <w:rFonts w:ascii="宋体" w:hAnsi="宋体" w:eastAsia="宋体" w:cs="宋体"/>
          <w:i w:val="0"/>
          <w:iCs/>
          <w:color w:val="auto"/>
          <w:highlight w:val="none"/>
          <w:u w:val="single"/>
        </w:rPr>
      </w:pPr>
      <w:r>
        <w:rPr>
          <w:rFonts w:hint="eastAsia" w:ascii="宋体" w:hAnsi="宋体" w:eastAsia="宋体" w:cs="宋体"/>
          <w:i w:val="0"/>
          <w:iCs/>
          <w:color w:val="auto"/>
          <w:highlight w:val="none"/>
        </w:rPr>
        <w:t>质疑项目的编号：</w:t>
      </w:r>
      <w:r>
        <w:rPr>
          <w:rFonts w:hint="eastAsia" w:ascii="宋体" w:hAnsi="宋体" w:eastAsia="宋体" w:cs="宋体"/>
          <w:i w:val="0"/>
          <w:iCs/>
          <w:color w:val="auto"/>
          <w:highlight w:val="none"/>
          <w:u w:val="single"/>
        </w:rPr>
        <w:t xml:space="preserve">                          </w:t>
      </w:r>
    </w:p>
    <w:p w14:paraId="03E41B08">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包号：</w:t>
      </w:r>
      <w:r>
        <w:rPr>
          <w:rFonts w:hint="eastAsia" w:ascii="宋体" w:hAnsi="宋体" w:eastAsia="宋体" w:cs="宋体"/>
          <w:i w:val="0"/>
          <w:iCs/>
          <w:color w:val="auto"/>
          <w:highlight w:val="none"/>
          <w:u w:val="single"/>
        </w:rPr>
        <w:t xml:space="preserve">                       </w:t>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ab/>
      </w:r>
      <w:r>
        <w:rPr>
          <w:rFonts w:hint="eastAsia" w:ascii="宋体" w:hAnsi="宋体" w:eastAsia="宋体" w:cs="宋体"/>
          <w:i w:val="0"/>
          <w:iCs/>
          <w:color w:val="auto"/>
          <w:highlight w:val="none"/>
          <w:u w:val="single"/>
        </w:rPr>
        <w:t xml:space="preserve">    </w:t>
      </w:r>
    </w:p>
    <w:p w14:paraId="55468CFE">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采购人名称：</w:t>
      </w:r>
      <w:r>
        <w:rPr>
          <w:rFonts w:hint="eastAsia" w:ascii="宋体" w:hAnsi="宋体" w:eastAsia="宋体" w:cs="宋体"/>
          <w:i w:val="0"/>
          <w:iCs/>
          <w:color w:val="auto"/>
          <w:highlight w:val="none"/>
          <w:u w:val="single"/>
        </w:rPr>
        <w:t xml:space="preserve">                            </w:t>
      </w:r>
    </w:p>
    <w:p w14:paraId="1DCED034">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lang w:val="en-US" w:eastAsia="zh-CN"/>
        </w:rPr>
        <w:t>磋商</w:t>
      </w:r>
      <w:r>
        <w:rPr>
          <w:rFonts w:hint="eastAsia" w:ascii="宋体" w:hAnsi="宋体" w:eastAsia="宋体" w:cs="宋体"/>
          <w:i w:val="0"/>
          <w:iCs/>
          <w:color w:val="auto"/>
          <w:highlight w:val="none"/>
        </w:rPr>
        <w:t>文件获取日期：</w:t>
      </w:r>
      <w:r>
        <w:rPr>
          <w:rFonts w:hint="eastAsia" w:ascii="宋体" w:hAnsi="宋体" w:eastAsia="宋体" w:cs="宋体"/>
          <w:i w:val="0"/>
          <w:iCs/>
          <w:color w:val="auto"/>
          <w:highlight w:val="none"/>
          <w:u w:val="single"/>
        </w:rPr>
        <w:t xml:space="preserve">                             </w:t>
      </w:r>
    </w:p>
    <w:p w14:paraId="3D1EFEF0">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三、质疑事项具体内容</w:t>
      </w:r>
    </w:p>
    <w:p w14:paraId="46043221">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质疑事项1：</w:t>
      </w:r>
      <w:r>
        <w:rPr>
          <w:rFonts w:hint="eastAsia" w:ascii="宋体" w:hAnsi="宋体" w:eastAsia="宋体" w:cs="宋体"/>
          <w:i w:val="0"/>
          <w:iCs/>
          <w:color w:val="auto"/>
          <w:highlight w:val="none"/>
          <w:u w:val="single"/>
        </w:rPr>
        <w:t xml:space="preserve">                             </w:t>
      </w:r>
    </w:p>
    <w:p w14:paraId="2BEA6041">
      <w:pPr>
        <w:pStyle w:val="15"/>
        <w:spacing w:beforeAutospacing="0" w:afterAutospacing="0" w:line="360" w:lineRule="auto"/>
        <w:rPr>
          <w:rFonts w:ascii="宋体" w:hAnsi="宋体" w:eastAsia="宋体" w:cs="宋体"/>
          <w:i w:val="0"/>
          <w:iCs/>
          <w:color w:val="auto"/>
          <w:highlight w:val="none"/>
        </w:rPr>
      </w:pPr>
      <w:r>
        <w:rPr>
          <w:rFonts w:hint="eastAsia" w:ascii="宋体" w:hAnsi="宋体" w:eastAsia="宋体" w:cs="宋体"/>
          <w:i w:val="0"/>
          <w:iCs/>
          <w:color w:val="auto"/>
          <w:highlight w:val="none"/>
        </w:rPr>
        <w:t>事实依据：</w:t>
      </w:r>
      <w:r>
        <w:rPr>
          <w:rFonts w:hint="eastAsia" w:ascii="宋体" w:hAnsi="宋体" w:eastAsia="宋体" w:cs="宋体"/>
          <w:i w:val="0"/>
          <w:iCs/>
          <w:color w:val="auto"/>
          <w:highlight w:val="none"/>
          <w:u w:val="single"/>
        </w:rPr>
        <w:t xml:space="preserve">                                                   </w:t>
      </w:r>
    </w:p>
    <w:p w14:paraId="2C720598">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法律依据：</w:t>
      </w:r>
      <w:r>
        <w:rPr>
          <w:rFonts w:hint="eastAsia" w:ascii="宋体" w:hAnsi="宋体" w:eastAsia="宋体" w:cs="宋体"/>
          <w:i w:val="0"/>
          <w:iCs/>
          <w:color w:val="auto"/>
          <w:highlight w:val="none"/>
          <w:u w:val="single"/>
        </w:rPr>
        <w:t xml:space="preserve">                                                    </w:t>
      </w:r>
    </w:p>
    <w:p w14:paraId="33F79D14">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质疑事项2</w:t>
      </w:r>
    </w:p>
    <w:p w14:paraId="20671B2B">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w:t>
      </w:r>
    </w:p>
    <w:p w14:paraId="2EE896A2">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四、与质疑事项相关的质疑请求</w:t>
      </w:r>
    </w:p>
    <w:p w14:paraId="3D34869A">
      <w:pPr>
        <w:pStyle w:val="15"/>
        <w:spacing w:beforeAutospacing="0" w:afterAutospacing="0" w:line="360" w:lineRule="auto"/>
        <w:jc w:val="both"/>
        <w:rPr>
          <w:rFonts w:ascii="宋体" w:hAnsi="宋体" w:eastAsia="宋体" w:cs="宋体"/>
          <w:i w:val="0"/>
          <w:iCs/>
          <w:color w:val="auto"/>
          <w:highlight w:val="none"/>
        </w:rPr>
      </w:pPr>
      <w:r>
        <w:rPr>
          <w:rFonts w:hint="eastAsia" w:ascii="宋体" w:hAnsi="宋体" w:eastAsia="宋体" w:cs="宋体"/>
          <w:i w:val="0"/>
          <w:iCs/>
          <w:color w:val="auto"/>
          <w:highlight w:val="none"/>
        </w:rPr>
        <w:t>请求：</w:t>
      </w:r>
      <w:r>
        <w:rPr>
          <w:rFonts w:hint="eastAsia" w:ascii="宋体" w:hAnsi="宋体" w:eastAsia="宋体" w:cs="宋体"/>
          <w:i w:val="0"/>
          <w:iCs/>
          <w:color w:val="auto"/>
          <w:highlight w:val="none"/>
          <w:u w:val="single"/>
        </w:rPr>
        <w:t xml:space="preserve">                                                          </w:t>
      </w:r>
    </w:p>
    <w:p w14:paraId="4C2A48DF">
      <w:pPr>
        <w:pStyle w:val="15"/>
        <w:spacing w:beforeAutospacing="0" w:afterAutospacing="0"/>
        <w:jc w:val="both"/>
        <w:rPr>
          <w:rFonts w:ascii="宋体" w:hAnsi="宋体" w:eastAsia="宋体" w:cs="宋体"/>
          <w:i w:val="0"/>
          <w:iCs/>
          <w:color w:val="auto"/>
          <w:highlight w:val="none"/>
        </w:rPr>
      </w:pPr>
      <w:r>
        <w:rPr>
          <w:rFonts w:hint="eastAsia" w:ascii="宋体" w:hAnsi="宋体" w:eastAsia="宋体" w:cs="宋体"/>
          <w:i w:val="0"/>
          <w:iCs/>
          <w:color w:val="auto"/>
          <w:highlight w:val="none"/>
        </w:rPr>
        <w:t xml:space="preserve">签字(签章)：                 公章：               日期：    </w:t>
      </w:r>
    </w:p>
    <w:p w14:paraId="337B948A">
      <w:pPr>
        <w:pStyle w:val="15"/>
        <w:spacing w:beforeAutospacing="0" w:afterAutospacing="0" w:line="0" w:lineRule="atLeast"/>
        <w:jc w:val="both"/>
        <w:rPr>
          <w:rFonts w:ascii="宋体" w:hAnsi="宋体" w:eastAsia="宋体" w:cs="宋体"/>
          <w:i w:val="0"/>
          <w:iCs/>
          <w:color w:val="auto"/>
          <w:highlight w:val="none"/>
        </w:rPr>
      </w:pPr>
      <w:r>
        <w:rPr>
          <w:rFonts w:hint="eastAsia" w:ascii="宋体" w:hAnsi="宋体" w:eastAsia="宋体" w:cs="宋体"/>
          <w:b/>
          <w:i w:val="0"/>
          <w:iCs/>
          <w:color w:val="auto"/>
          <w:highlight w:val="none"/>
        </w:rPr>
        <w:t>质疑函制作说明：</w:t>
      </w:r>
    </w:p>
    <w:p w14:paraId="1F9F995A">
      <w:pPr>
        <w:pStyle w:val="15"/>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1.供应商提出质疑时，应提交质疑函和必要的证明材料。</w:t>
      </w:r>
    </w:p>
    <w:p w14:paraId="6A90D8D0">
      <w:pPr>
        <w:pStyle w:val="15"/>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D426DE7">
      <w:pPr>
        <w:pStyle w:val="15"/>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3.质疑供应商若对项目的某一分包进行质疑，质疑函中应列明具体分包号。</w:t>
      </w:r>
    </w:p>
    <w:p w14:paraId="699B444D">
      <w:pPr>
        <w:pStyle w:val="15"/>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4.质疑函的质疑事项应具体、明确，并有必要的事实依据和法律依据。</w:t>
      </w:r>
    </w:p>
    <w:p w14:paraId="2686FE79">
      <w:pPr>
        <w:pStyle w:val="15"/>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5.质疑函的质疑请求应与质疑事项相关。</w:t>
      </w:r>
    </w:p>
    <w:p w14:paraId="41CC85A3">
      <w:pPr>
        <w:pStyle w:val="15"/>
        <w:widowControl/>
        <w:spacing w:beforeAutospacing="0" w:afterAutospacing="0" w:line="0" w:lineRule="atLeast"/>
        <w:ind w:firstLine="480"/>
        <w:rPr>
          <w:rFonts w:ascii="宋体" w:hAnsi="宋体" w:eastAsia="宋体" w:cs="宋体"/>
          <w:i w:val="0"/>
          <w:iCs/>
          <w:color w:val="auto"/>
          <w:highlight w:val="none"/>
        </w:rPr>
      </w:pPr>
      <w:r>
        <w:rPr>
          <w:rFonts w:hint="eastAsia" w:ascii="宋体" w:hAnsi="宋体" w:eastAsia="宋体" w:cs="宋体"/>
          <w:i w:val="0"/>
          <w:iCs/>
          <w:color w:val="auto"/>
          <w:highlight w:val="none"/>
        </w:rPr>
        <w:t>6.质疑供应商为自然人的，质疑函应由本人签字；质疑供应商为法人或者其他组织的，质疑函应由法定代表人、主要负责人，或者其授权代表签字或者盖章，并加盖公章。</w:t>
      </w:r>
    </w:p>
    <w:p w14:paraId="2557C6C0">
      <w:pPr>
        <w:pStyle w:val="15"/>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1CDAE952">
      <w:pPr>
        <w:rPr>
          <w:color w:val="auto"/>
          <w:highlight w:val="none"/>
        </w:rPr>
      </w:pPr>
    </w:p>
    <w:p w14:paraId="214D313A">
      <w:pPr>
        <w:pStyle w:val="15"/>
        <w:spacing w:beforeAutospacing="0" w:afterAutospacing="0"/>
        <w:ind w:firstLine="420"/>
        <w:jc w:val="both"/>
        <w:rPr>
          <w:color w:val="auto"/>
          <w:highlight w:val="none"/>
        </w:rPr>
      </w:pPr>
      <w:r>
        <w:rPr>
          <w:color w:val="auto"/>
          <w:highlight w:val="none"/>
        </w:rPr>
        <w:t> </w:t>
      </w:r>
    </w:p>
    <w:bookmarkEnd w:id="6"/>
    <w:bookmarkEnd w:id="36"/>
    <w:bookmarkEnd w:id="83"/>
    <w:bookmarkEnd w:id="84"/>
    <w:bookmarkEnd w:id="85"/>
    <w:bookmarkEnd w:id="86"/>
    <w:bookmarkEnd w:id="87"/>
    <w:bookmarkEnd w:id="88"/>
    <w:bookmarkEnd w:id="89"/>
    <w:bookmarkEnd w:id="90"/>
    <w:bookmarkEnd w:id="99"/>
    <w:bookmarkEnd w:id="100"/>
    <w:bookmarkEnd w:id="107"/>
    <w:bookmarkEnd w:id="166"/>
    <w:bookmarkEnd w:id="167"/>
    <w:bookmarkEnd w:id="183"/>
    <w:bookmarkEnd w:id="184"/>
    <w:bookmarkEnd w:id="185"/>
    <w:bookmarkEnd w:id="186"/>
    <w:bookmarkEnd w:id="187"/>
    <w:bookmarkEnd w:id="188"/>
    <w:bookmarkEnd w:id="189"/>
    <w:bookmarkEnd w:id="190"/>
    <w:bookmarkEnd w:id="199"/>
    <w:bookmarkEnd w:id="200"/>
    <w:bookmarkEnd w:id="201"/>
    <w:bookmarkEnd w:id="202"/>
    <w:bookmarkEnd w:id="203"/>
    <w:p w14:paraId="40029B73">
      <w:pPr>
        <w:rPr>
          <w:color w:val="auto"/>
          <w:highlight w:val="none"/>
        </w:rPr>
      </w:pPr>
    </w:p>
    <w:sectPr>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魏碑_GBK">
    <w:altName w:val="宋体"/>
    <w:panose1 w:val="02000000000000000000"/>
    <w:charset w:val="86"/>
    <w:family w:val="script"/>
    <w:pitch w:val="default"/>
    <w:sig w:usb0="00000000" w:usb1="00000000" w:usb2="00000016" w:usb3="00000000" w:csb0="00040001"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SimSun,Bold">
    <w:altName w:val="宋体"/>
    <w:panose1 w:val="00000000000000000000"/>
    <w:charset w:val="86"/>
    <w:family w:val="auto"/>
    <w:pitch w:val="default"/>
    <w:sig w:usb0="00000000" w:usb1="00000000" w:usb2="0000001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5DC38">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E9032">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3469E1">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3469E1">
                    <w:pPr>
                      <w:pStyle w:val="1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3B8F8">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8CF20B">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8CF20B">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61126">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EBDCBA">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4EBDCBA">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BC828">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BCA4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C5BCA4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181C88"/>
    <w:multiLevelType w:val="singleLevel"/>
    <w:tmpl w:val="8D181C88"/>
    <w:lvl w:ilvl="0" w:tentative="0">
      <w:start w:val="2"/>
      <w:numFmt w:val="chineseCounting"/>
      <w:suff w:val="space"/>
      <w:lvlText w:val="第%1章"/>
      <w:lvlJc w:val="left"/>
      <w:rPr>
        <w:rFonts w:hint="eastAsia"/>
      </w:rPr>
    </w:lvl>
  </w:abstractNum>
  <w:abstractNum w:abstractNumId="1">
    <w:nsid w:val="97F889F2"/>
    <w:multiLevelType w:val="singleLevel"/>
    <w:tmpl w:val="97F889F2"/>
    <w:lvl w:ilvl="0" w:tentative="0">
      <w:start w:val="1"/>
      <w:numFmt w:val="decimal"/>
      <w:lvlText w:val="%1."/>
      <w:lvlJc w:val="left"/>
      <w:pPr>
        <w:tabs>
          <w:tab w:val="left" w:pos="312"/>
        </w:tabs>
      </w:pPr>
    </w:lvl>
  </w:abstractNum>
  <w:abstractNum w:abstractNumId="2">
    <w:nsid w:val="C6EBBEA5"/>
    <w:multiLevelType w:val="singleLevel"/>
    <w:tmpl w:val="C6EBBEA5"/>
    <w:lvl w:ilvl="0" w:tentative="0">
      <w:start w:val="1"/>
      <w:numFmt w:val="decimal"/>
      <w:suff w:val="space"/>
      <w:lvlText w:val="%1."/>
      <w:lvlJc w:val="left"/>
    </w:lvl>
  </w:abstractNum>
  <w:abstractNum w:abstractNumId="3">
    <w:nsid w:val="0053208E"/>
    <w:multiLevelType w:val="multilevel"/>
    <w:tmpl w:val="0053208E"/>
    <w:lvl w:ilvl="0" w:tentative="0">
      <w:start w:val="2"/>
      <w:numFmt w:val="decimal"/>
      <w:pStyle w:val="18"/>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B182AAF"/>
    <w:multiLevelType w:val="singleLevel"/>
    <w:tmpl w:val="1B182AAF"/>
    <w:lvl w:ilvl="0" w:tentative="0">
      <w:start w:val="4"/>
      <w:numFmt w:val="decimal"/>
      <w:lvlText w:val="%1."/>
      <w:lvlJc w:val="left"/>
      <w:pPr>
        <w:tabs>
          <w:tab w:val="left" w:pos="312"/>
        </w:tabs>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0526B"/>
    <w:rsid w:val="00027B74"/>
    <w:rsid w:val="000D1236"/>
    <w:rsid w:val="001157CE"/>
    <w:rsid w:val="00137369"/>
    <w:rsid w:val="00172A27"/>
    <w:rsid w:val="001B0A39"/>
    <w:rsid w:val="001D3737"/>
    <w:rsid w:val="001E339B"/>
    <w:rsid w:val="001F4DB3"/>
    <w:rsid w:val="0021548B"/>
    <w:rsid w:val="00243914"/>
    <w:rsid w:val="00247343"/>
    <w:rsid w:val="002652C7"/>
    <w:rsid w:val="002C2EC5"/>
    <w:rsid w:val="00446CD6"/>
    <w:rsid w:val="004529E6"/>
    <w:rsid w:val="004E30FC"/>
    <w:rsid w:val="00505279"/>
    <w:rsid w:val="00574956"/>
    <w:rsid w:val="0057550E"/>
    <w:rsid w:val="0058523E"/>
    <w:rsid w:val="005A6106"/>
    <w:rsid w:val="005D0090"/>
    <w:rsid w:val="005E27FF"/>
    <w:rsid w:val="005F037B"/>
    <w:rsid w:val="006A7CB5"/>
    <w:rsid w:val="006C3327"/>
    <w:rsid w:val="00724552"/>
    <w:rsid w:val="007255D8"/>
    <w:rsid w:val="00772667"/>
    <w:rsid w:val="007D118B"/>
    <w:rsid w:val="008731E3"/>
    <w:rsid w:val="00895AD0"/>
    <w:rsid w:val="0092109E"/>
    <w:rsid w:val="00953741"/>
    <w:rsid w:val="00A103BF"/>
    <w:rsid w:val="00A840E7"/>
    <w:rsid w:val="00AD22C6"/>
    <w:rsid w:val="00AE219B"/>
    <w:rsid w:val="00B62979"/>
    <w:rsid w:val="00BA17CD"/>
    <w:rsid w:val="00C577B1"/>
    <w:rsid w:val="00D04E7E"/>
    <w:rsid w:val="00D33C33"/>
    <w:rsid w:val="00D550E3"/>
    <w:rsid w:val="00D743B5"/>
    <w:rsid w:val="00DA5DBE"/>
    <w:rsid w:val="00E27CDE"/>
    <w:rsid w:val="00E551A0"/>
    <w:rsid w:val="00EB03C2"/>
    <w:rsid w:val="00EB1C0E"/>
    <w:rsid w:val="00F63BA2"/>
    <w:rsid w:val="00F71987"/>
    <w:rsid w:val="00FD0513"/>
    <w:rsid w:val="00FD2A7E"/>
    <w:rsid w:val="00FE5DE6"/>
    <w:rsid w:val="0112363F"/>
    <w:rsid w:val="014036E0"/>
    <w:rsid w:val="015C3D17"/>
    <w:rsid w:val="01AA53CD"/>
    <w:rsid w:val="01AC62C4"/>
    <w:rsid w:val="01B6221C"/>
    <w:rsid w:val="01CD7566"/>
    <w:rsid w:val="01CF7782"/>
    <w:rsid w:val="021653B1"/>
    <w:rsid w:val="023A2E4D"/>
    <w:rsid w:val="02502671"/>
    <w:rsid w:val="02714395"/>
    <w:rsid w:val="027817E3"/>
    <w:rsid w:val="02851591"/>
    <w:rsid w:val="02881E0B"/>
    <w:rsid w:val="02B726F0"/>
    <w:rsid w:val="02BD5381"/>
    <w:rsid w:val="02CE17E8"/>
    <w:rsid w:val="02D505AD"/>
    <w:rsid w:val="02ED1C6E"/>
    <w:rsid w:val="02EF2C78"/>
    <w:rsid w:val="02F76F90"/>
    <w:rsid w:val="03394EB3"/>
    <w:rsid w:val="034A325D"/>
    <w:rsid w:val="034E4AD1"/>
    <w:rsid w:val="03525F75"/>
    <w:rsid w:val="035E2B6B"/>
    <w:rsid w:val="036B669D"/>
    <w:rsid w:val="037E0789"/>
    <w:rsid w:val="039B17C3"/>
    <w:rsid w:val="03A964DC"/>
    <w:rsid w:val="03B459B8"/>
    <w:rsid w:val="03CD7E04"/>
    <w:rsid w:val="04043713"/>
    <w:rsid w:val="040D5424"/>
    <w:rsid w:val="04241DDC"/>
    <w:rsid w:val="04333FF8"/>
    <w:rsid w:val="04335DA6"/>
    <w:rsid w:val="044E0E32"/>
    <w:rsid w:val="046C12B8"/>
    <w:rsid w:val="047C2E20"/>
    <w:rsid w:val="04846602"/>
    <w:rsid w:val="04926F71"/>
    <w:rsid w:val="04934A97"/>
    <w:rsid w:val="049820AD"/>
    <w:rsid w:val="04CF1FA6"/>
    <w:rsid w:val="04F05A45"/>
    <w:rsid w:val="05164D65"/>
    <w:rsid w:val="05187CD7"/>
    <w:rsid w:val="051E25B2"/>
    <w:rsid w:val="052B2F21"/>
    <w:rsid w:val="05411EB8"/>
    <w:rsid w:val="055D2614"/>
    <w:rsid w:val="055F2BCB"/>
    <w:rsid w:val="056E5657"/>
    <w:rsid w:val="0580326D"/>
    <w:rsid w:val="0599432F"/>
    <w:rsid w:val="05AC43F4"/>
    <w:rsid w:val="05F72E03"/>
    <w:rsid w:val="06163BD1"/>
    <w:rsid w:val="061E328E"/>
    <w:rsid w:val="062C42CE"/>
    <w:rsid w:val="0663432D"/>
    <w:rsid w:val="068A6E34"/>
    <w:rsid w:val="06B259C3"/>
    <w:rsid w:val="075410AD"/>
    <w:rsid w:val="075A189C"/>
    <w:rsid w:val="0764271A"/>
    <w:rsid w:val="07670DE9"/>
    <w:rsid w:val="076F3599"/>
    <w:rsid w:val="078D3A1F"/>
    <w:rsid w:val="07957A8B"/>
    <w:rsid w:val="07994E3B"/>
    <w:rsid w:val="079A613C"/>
    <w:rsid w:val="07A02A3F"/>
    <w:rsid w:val="07A2101C"/>
    <w:rsid w:val="07A40F48"/>
    <w:rsid w:val="07B83E73"/>
    <w:rsid w:val="07BF4B3B"/>
    <w:rsid w:val="07D4164E"/>
    <w:rsid w:val="07DB29DD"/>
    <w:rsid w:val="07E0789C"/>
    <w:rsid w:val="07EB1CF4"/>
    <w:rsid w:val="07EC6998"/>
    <w:rsid w:val="07F00BA2"/>
    <w:rsid w:val="07F25F78"/>
    <w:rsid w:val="080F08D8"/>
    <w:rsid w:val="08230FB8"/>
    <w:rsid w:val="08534C69"/>
    <w:rsid w:val="085409E1"/>
    <w:rsid w:val="0854758E"/>
    <w:rsid w:val="08762705"/>
    <w:rsid w:val="088C017B"/>
    <w:rsid w:val="08992D34"/>
    <w:rsid w:val="08B33959"/>
    <w:rsid w:val="08BB636A"/>
    <w:rsid w:val="08CC0577"/>
    <w:rsid w:val="08F63846"/>
    <w:rsid w:val="08F8136C"/>
    <w:rsid w:val="09132265"/>
    <w:rsid w:val="09523172"/>
    <w:rsid w:val="09646A02"/>
    <w:rsid w:val="09C556F2"/>
    <w:rsid w:val="09D678FF"/>
    <w:rsid w:val="09F96B4A"/>
    <w:rsid w:val="0A334D52"/>
    <w:rsid w:val="0A3B4C74"/>
    <w:rsid w:val="0A71587A"/>
    <w:rsid w:val="0A7333A0"/>
    <w:rsid w:val="0A7E7619"/>
    <w:rsid w:val="0A856C30"/>
    <w:rsid w:val="0ABC363A"/>
    <w:rsid w:val="0AD8294B"/>
    <w:rsid w:val="0ADF4592"/>
    <w:rsid w:val="0AF12517"/>
    <w:rsid w:val="0B1229A8"/>
    <w:rsid w:val="0B1D155E"/>
    <w:rsid w:val="0B2226D0"/>
    <w:rsid w:val="0B397A56"/>
    <w:rsid w:val="0B3C078F"/>
    <w:rsid w:val="0B495EAF"/>
    <w:rsid w:val="0B4B3B00"/>
    <w:rsid w:val="0B7F7B23"/>
    <w:rsid w:val="0B82629A"/>
    <w:rsid w:val="0B882E63"/>
    <w:rsid w:val="0B892750"/>
    <w:rsid w:val="0B8A23C1"/>
    <w:rsid w:val="0B9730BE"/>
    <w:rsid w:val="0B9903D2"/>
    <w:rsid w:val="0B9C5955"/>
    <w:rsid w:val="0BAE3813"/>
    <w:rsid w:val="0BD04822"/>
    <w:rsid w:val="0BD47E6F"/>
    <w:rsid w:val="0BEF5501"/>
    <w:rsid w:val="0C0C51C6"/>
    <w:rsid w:val="0C0F534B"/>
    <w:rsid w:val="0C210BDA"/>
    <w:rsid w:val="0C364685"/>
    <w:rsid w:val="0C7D0506"/>
    <w:rsid w:val="0C953DB4"/>
    <w:rsid w:val="0CC442CE"/>
    <w:rsid w:val="0CC55A09"/>
    <w:rsid w:val="0CF32576"/>
    <w:rsid w:val="0D374B59"/>
    <w:rsid w:val="0D3A01A5"/>
    <w:rsid w:val="0D3C216F"/>
    <w:rsid w:val="0D3D1A44"/>
    <w:rsid w:val="0D4D2FC1"/>
    <w:rsid w:val="0D646FD0"/>
    <w:rsid w:val="0DA16476"/>
    <w:rsid w:val="0DA25D4B"/>
    <w:rsid w:val="0DAE46EF"/>
    <w:rsid w:val="0DB735A4"/>
    <w:rsid w:val="0DCE08EE"/>
    <w:rsid w:val="0DD95C10"/>
    <w:rsid w:val="0E0013EF"/>
    <w:rsid w:val="0E0362D5"/>
    <w:rsid w:val="0E06277D"/>
    <w:rsid w:val="0E807E3A"/>
    <w:rsid w:val="0E8C7426"/>
    <w:rsid w:val="0E966A8C"/>
    <w:rsid w:val="0EC0292C"/>
    <w:rsid w:val="0EDB5D44"/>
    <w:rsid w:val="0EE61CD2"/>
    <w:rsid w:val="0F074C7E"/>
    <w:rsid w:val="0F3A0440"/>
    <w:rsid w:val="0F44530B"/>
    <w:rsid w:val="0F580754"/>
    <w:rsid w:val="0F6D24BC"/>
    <w:rsid w:val="0F704352"/>
    <w:rsid w:val="0F7D537E"/>
    <w:rsid w:val="0F803E6A"/>
    <w:rsid w:val="0FAA37F5"/>
    <w:rsid w:val="0FBD6E6C"/>
    <w:rsid w:val="0FC95811"/>
    <w:rsid w:val="0FE16FFE"/>
    <w:rsid w:val="10007707"/>
    <w:rsid w:val="104D6442"/>
    <w:rsid w:val="10667503"/>
    <w:rsid w:val="107C7C60"/>
    <w:rsid w:val="10817822"/>
    <w:rsid w:val="10A903E1"/>
    <w:rsid w:val="10AD0C8E"/>
    <w:rsid w:val="10C55FD8"/>
    <w:rsid w:val="10CD1330"/>
    <w:rsid w:val="10D12BCF"/>
    <w:rsid w:val="10D97CD5"/>
    <w:rsid w:val="10EC5C5A"/>
    <w:rsid w:val="11063FEA"/>
    <w:rsid w:val="110E3E23"/>
    <w:rsid w:val="112428AD"/>
    <w:rsid w:val="113B44EC"/>
    <w:rsid w:val="113F222E"/>
    <w:rsid w:val="11533DE9"/>
    <w:rsid w:val="117864CE"/>
    <w:rsid w:val="11904838"/>
    <w:rsid w:val="11963E18"/>
    <w:rsid w:val="119F0F1F"/>
    <w:rsid w:val="11AB711C"/>
    <w:rsid w:val="11AC2382"/>
    <w:rsid w:val="11BB562D"/>
    <w:rsid w:val="11CC3396"/>
    <w:rsid w:val="11CC5FDB"/>
    <w:rsid w:val="11DD55A3"/>
    <w:rsid w:val="11EE155E"/>
    <w:rsid w:val="11EE77B0"/>
    <w:rsid w:val="11F254F3"/>
    <w:rsid w:val="120C50A7"/>
    <w:rsid w:val="127C439D"/>
    <w:rsid w:val="12B409FA"/>
    <w:rsid w:val="12BC340B"/>
    <w:rsid w:val="12BE3627"/>
    <w:rsid w:val="12CD5618"/>
    <w:rsid w:val="12DA1AE3"/>
    <w:rsid w:val="12F015A0"/>
    <w:rsid w:val="12FE1529"/>
    <w:rsid w:val="13165211"/>
    <w:rsid w:val="1318606C"/>
    <w:rsid w:val="134C3538"/>
    <w:rsid w:val="135B1C01"/>
    <w:rsid w:val="13984494"/>
    <w:rsid w:val="13AF03BF"/>
    <w:rsid w:val="13CB1888"/>
    <w:rsid w:val="13CB7DA9"/>
    <w:rsid w:val="13F77606"/>
    <w:rsid w:val="140E7C96"/>
    <w:rsid w:val="14477BA7"/>
    <w:rsid w:val="1448764C"/>
    <w:rsid w:val="146124BC"/>
    <w:rsid w:val="14972381"/>
    <w:rsid w:val="14C12F5A"/>
    <w:rsid w:val="14CF1965"/>
    <w:rsid w:val="15031585"/>
    <w:rsid w:val="1517701E"/>
    <w:rsid w:val="15245B82"/>
    <w:rsid w:val="153B0F5F"/>
    <w:rsid w:val="154710A5"/>
    <w:rsid w:val="15656E31"/>
    <w:rsid w:val="15B305AF"/>
    <w:rsid w:val="16005D04"/>
    <w:rsid w:val="16794FF5"/>
    <w:rsid w:val="169263C8"/>
    <w:rsid w:val="169F551D"/>
    <w:rsid w:val="16A61788"/>
    <w:rsid w:val="16B94831"/>
    <w:rsid w:val="16CE195E"/>
    <w:rsid w:val="16E178E4"/>
    <w:rsid w:val="172B0B5F"/>
    <w:rsid w:val="17654071"/>
    <w:rsid w:val="17666D47"/>
    <w:rsid w:val="177469AA"/>
    <w:rsid w:val="177A5491"/>
    <w:rsid w:val="17AE0784"/>
    <w:rsid w:val="17D82A95"/>
    <w:rsid w:val="17F21A0E"/>
    <w:rsid w:val="17FE0021"/>
    <w:rsid w:val="18657359"/>
    <w:rsid w:val="187D3DBA"/>
    <w:rsid w:val="18820C52"/>
    <w:rsid w:val="18A22011"/>
    <w:rsid w:val="18BC4109"/>
    <w:rsid w:val="18C82B09"/>
    <w:rsid w:val="18E77AF5"/>
    <w:rsid w:val="18EA6F23"/>
    <w:rsid w:val="190D49C0"/>
    <w:rsid w:val="192341E3"/>
    <w:rsid w:val="193260E4"/>
    <w:rsid w:val="19793E03"/>
    <w:rsid w:val="197E58BE"/>
    <w:rsid w:val="19835197"/>
    <w:rsid w:val="198D5B01"/>
    <w:rsid w:val="19960E59"/>
    <w:rsid w:val="199724DC"/>
    <w:rsid w:val="19996254"/>
    <w:rsid w:val="199A25AF"/>
    <w:rsid w:val="19A5109C"/>
    <w:rsid w:val="19C702DF"/>
    <w:rsid w:val="19CA465F"/>
    <w:rsid w:val="19D35C0A"/>
    <w:rsid w:val="19F416DC"/>
    <w:rsid w:val="1A04603D"/>
    <w:rsid w:val="1A4F2C83"/>
    <w:rsid w:val="1A935399"/>
    <w:rsid w:val="1AC612CA"/>
    <w:rsid w:val="1AD2708F"/>
    <w:rsid w:val="1ADA5BDA"/>
    <w:rsid w:val="1AE62F2F"/>
    <w:rsid w:val="1AEF59D8"/>
    <w:rsid w:val="1B291859"/>
    <w:rsid w:val="1B410951"/>
    <w:rsid w:val="1B5F5046"/>
    <w:rsid w:val="1B6F54BE"/>
    <w:rsid w:val="1B8E0065"/>
    <w:rsid w:val="1B9509DF"/>
    <w:rsid w:val="1BA002D8"/>
    <w:rsid w:val="1BA50EE0"/>
    <w:rsid w:val="1BC577D4"/>
    <w:rsid w:val="1BCA587C"/>
    <w:rsid w:val="1BCC0B62"/>
    <w:rsid w:val="1BF12377"/>
    <w:rsid w:val="1C0604EE"/>
    <w:rsid w:val="1C1B07AD"/>
    <w:rsid w:val="1C2E1D71"/>
    <w:rsid w:val="1C3D55BC"/>
    <w:rsid w:val="1C686BCA"/>
    <w:rsid w:val="1C7F033F"/>
    <w:rsid w:val="1CAC4347"/>
    <w:rsid w:val="1CAD0994"/>
    <w:rsid w:val="1D077978"/>
    <w:rsid w:val="1D175D8A"/>
    <w:rsid w:val="1D1C1092"/>
    <w:rsid w:val="1D24677C"/>
    <w:rsid w:val="1D300C7D"/>
    <w:rsid w:val="1D605A5A"/>
    <w:rsid w:val="1D6B6159"/>
    <w:rsid w:val="1D7C3EC2"/>
    <w:rsid w:val="1DB57558"/>
    <w:rsid w:val="1DBC4C07"/>
    <w:rsid w:val="1DFD1285"/>
    <w:rsid w:val="1E122A78"/>
    <w:rsid w:val="1E287FE4"/>
    <w:rsid w:val="1E2F362A"/>
    <w:rsid w:val="1E4F5A7B"/>
    <w:rsid w:val="1E562965"/>
    <w:rsid w:val="1EA77665"/>
    <w:rsid w:val="1EC70509"/>
    <w:rsid w:val="1EF1152D"/>
    <w:rsid w:val="1F073C5F"/>
    <w:rsid w:val="1F0E3240"/>
    <w:rsid w:val="1F4A0271"/>
    <w:rsid w:val="1F617814"/>
    <w:rsid w:val="1F6D61B8"/>
    <w:rsid w:val="1F7F5EEC"/>
    <w:rsid w:val="1F901EA7"/>
    <w:rsid w:val="1FA6740F"/>
    <w:rsid w:val="1FB73268"/>
    <w:rsid w:val="1FC35DD8"/>
    <w:rsid w:val="1FC7762D"/>
    <w:rsid w:val="1FF56C89"/>
    <w:rsid w:val="20216FA3"/>
    <w:rsid w:val="20360CA0"/>
    <w:rsid w:val="203942EC"/>
    <w:rsid w:val="206155F1"/>
    <w:rsid w:val="20733730"/>
    <w:rsid w:val="20801F1B"/>
    <w:rsid w:val="20902C53"/>
    <w:rsid w:val="20913A8B"/>
    <w:rsid w:val="20914128"/>
    <w:rsid w:val="20955535"/>
    <w:rsid w:val="20A83FAF"/>
    <w:rsid w:val="215025DE"/>
    <w:rsid w:val="21577120"/>
    <w:rsid w:val="217E28FF"/>
    <w:rsid w:val="21B31E7D"/>
    <w:rsid w:val="21CC717D"/>
    <w:rsid w:val="22424AA4"/>
    <w:rsid w:val="22492855"/>
    <w:rsid w:val="224F7DF7"/>
    <w:rsid w:val="22806203"/>
    <w:rsid w:val="22B660C8"/>
    <w:rsid w:val="22CC31F6"/>
    <w:rsid w:val="22F62B8A"/>
    <w:rsid w:val="23111551"/>
    <w:rsid w:val="231828DF"/>
    <w:rsid w:val="23254D08"/>
    <w:rsid w:val="232B2612"/>
    <w:rsid w:val="232C1EE7"/>
    <w:rsid w:val="23343DB4"/>
    <w:rsid w:val="23534E2B"/>
    <w:rsid w:val="23692BC2"/>
    <w:rsid w:val="239857CE"/>
    <w:rsid w:val="23C86484"/>
    <w:rsid w:val="23CD5478"/>
    <w:rsid w:val="23E36C29"/>
    <w:rsid w:val="23F453AC"/>
    <w:rsid w:val="24123350"/>
    <w:rsid w:val="2416316C"/>
    <w:rsid w:val="241C01AD"/>
    <w:rsid w:val="242157C3"/>
    <w:rsid w:val="242524B1"/>
    <w:rsid w:val="24283596"/>
    <w:rsid w:val="242C02D7"/>
    <w:rsid w:val="245060A9"/>
    <w:rsid w:val="24533DC2"/>
    <w:rsid w:val="24A106B2"/>
    <w:rsid w:val="24CC5C1F"/>
    <w:rsid w:val="24E94B7E"/>
    <w:rsid w:val="24F5112A"/>
    <w:rsid w:val="251A5A98"/>
    <w:rsid w:val="25253091"/>
    <w:rsid w:val="253024AD"/>
    <w:rsid w:val="2532334D"/>
    <w:rsid w:val="258C17E7"/>
    <w:rsid w:val="25987D07"/>
    <w:rsid w:val="259F2E44"/>
    <w:rsid w:val="25A51DF6"/>
    <w:rsid w:val="25AD37B3"/>
    <w:rsid w:val="25DA0320"/>
    <w:rsid w:val="25DF5936"/>
    <w:rsid w:val="261301D0"/>
    <w:rsid w:val="262034AF"/>
    <w:rsid w:val="26436E6C"/>
    <w:rsid w:val="26562947"/>
    <w:rsid w:val="265E2332"/>
    <w:rsid w:val="26750FF7"/>
    <w:rsid w:val="268F110A"/>
    <w:rsid w:val="26924756"/>
    <w:rsid w:val="26CA3EF0"/>
    <w:rsid w:val="26E22E27"/>
    <w:rsid w:val="26E96B7F"/>
    <w:rsid w:val="27005C27"/>
    <w:rsid w:val="270B45D7"/>
    <w:rsid w:val="27194423"/>
    <w:rsid w:val="27206206"/>
    <w:rsid w:val="27290FC5"/>
    <w:rsid w:val="274F43F6"/>
    <w:rsid w:val="27561C28"/>
    <w:rsid w:val="275A1F7C"/>
    <w:rsid w:val="275D4D64"/>
    <w:rsid w:val="27934C2A"/>
    <w:rsid w:val="27AC35F6"/>
    <w:rsid w:val="27C2106B"/>
    <w:rsid w:val="27D82163"/>
    <w:rsid w:val="27EC6D9A"/>
    <w:rsid w:val="27FA25B3"/>
    <w:rsid w:val="283755B5"/>
    <w:rsid w:val="284321AC"/>
    <w:rsid w:val="28506677"/>
    <w:rsid w:val="28553C8E"/>
    <w:rsid w:val="28DA4193"/>
    <w:rsid w:val="28E53263"/>
    <w:rsid w:val="28FE41FC"/>
    <w:rsid w:val="290032A5"/>
    <w:rsid w:val="290336EA"/>
    <w:rsid w:val="290D023F"/>
    <w:rsid w:val="292F2731"/>
    <w:rsid w:val="29345C52"/>
    <w:rsid w:val="295166A2"/>
    <w:rsid w:val="298F67F1"/>
    <w:rsid w:val="2996274E"/>
    <w:rsid w:val="29A21154"/>
    <w:rsid w:val="29A7676B"/>
    <w:rsid w:val="29B33362"/>
    <w:rsid w:val="29BF1D06"/>
    <w:rsid w:val="29C015DB"/>
    <w:rsid w:val="2A07545B"/>
    <w:rsid w:val="2A187669"/>
    <w:rsid w:val="2A4648B7"/>
    <w:rsid w:val="2A4D53A0"/>
    <w:rsid w:val="2A8F792B"/>
    <w:rsid w:val="2A952CB6"/>
    <w:rsid w:val="2AEF273F"/>
    <w:rsid w:val="2AF0511A"/>
    <w:rsid w:val="2AF7727E"/>
    <w:rsid w:val="2B005440"/>
    <w:rsid w:val="2B006F1E"/>
    <w:rsid w:val="2B367DA6"/>
    <w:rsid w:val="2B9176D3"/>
    <w:rsid w:val="2B981BDF"/>
    <w:rsid w:val="2BC5737C"/>
    <w:rsid w:val="2BC96E6C"/>
    <w:rsid w:val="2BD4136D"/>
    <w:rsid w:val="2BD66E93"/>
    <w:rsid w:val="2BEE242F"/>
    <w:rsid w:val="2C03574A"/>
    <w:rsid w:val="2C0F2F6A"/>
    <w:rsid w:val="2C1D4AC2"/>
    <w:rsid w:val="2C1F083A"/>
    <w:rsid w:val="2C372028"/>
    <w:rsid w:val="2C7B3B05"/>
    <w:rsid w:val="2C9878F1"/>
    <w:rsid w:val="2C9C00DD"/>
    <w:rsid w:val="2CC277F5"/>
    <w:rsid w:val="2CC82C80"/>
    <w:rsid w:val="2CCD64E8"/>
    <w:rsid w:val="2CD01D46"/>
    <w:rsid w:val="2CDD22AB"/>
    <w:rsid w:val="2CF558C1"/>
    <w:rsid w:val="2CFD71B2"/>
    <w:rsid w:val="2D263D7D"/>
    <w:rsid w:val="2D2D6F87"/>
    <w:rsid w:val="2D371BB4"/>
    <w:rsid w:val="2D5E5392"/>
    <w:rsid w:val="2D6929B6"/>
    <w:rsid w:val="2D9C5EBB"/>
    <w:rsid w:val="2DCA6ECC"/>
    <w:rsid w:val="2DDD6EF4"/>
    <w:rsid w:val="2DEA4E78"/>
    <w:rsid w:val="2E015014"/>
    <w:rsid w:val="2E1A39AF"/>
    <w:rsid w:val="2E2B7074"/>
    <w:rsid w:val="2E5E7AF7"/>
    <w:rsid w:val="2E9D013C"/>
    <w:rsid w:val="2EAC037F"/>
    <w:rsid w:val="2EC1207D"/>
    <w:rsid w:val="2ED26038"/>
    <w:rsid w:val="2EE73822"/>
    <w:rsid w:val="2EFF6701"/>
    <w:rsid w:val="2F027742"/>
    <w:rsid w:val="2F1E74CF"/>
    <w:rsid w:val="2F4709E3"/>
    <w:rsid w:val="2F5E78CC"/>
    <w:rsid w:val="2F9B28BE"/>
    <w:rsid w:val="2FAC4ADB"/>
    <w:rsid w:val="2FAD4FD9"/>
    <w:rsid w:val="2FB346FB"/>
    <w:rsid w:val="2FEE50F3"/>
    <w:rsid w:val="2FFA5778"/>
    <w:rsid w:val="301B57BD"/>
    <w:rsid w:val="303B7C0D"/>
    <w:rsid w:val="30441A12"/>
    <w:rsid w:val="30485808"/>
    <w:rsid w:val="30495C84"/>
    <w:rsid w:val="30650005"/>
    <w:rsid w:val="3090408B"/>
    <w:rsid w:val="309D61D2"/>
    <w:rsid w:val="30B312FD"/>
    <w:rsid w:val="30DD7002"/>
    <w:rsid w:val="310333AD"/>
    <w:rsid w:val="310C5E46"/>
    <w:rsid w:val="31101099"/>
    <w:rsid w:val="311C17EC"/>
    <w:rsid w:val="31307046"/>
    <w:rsid w:val="31367EA1"/>
    <w:rsid w:val="31450619"/>
    <w:rsid w:val="31522189"/>
    <w:rsid w:val="31555F22"/>
    <w:rsid w:val="316B62D0"/>
    <w:rsid w:val="31815AF3"/>
    <w:rsid w:val="31CD590C"/>
    <w:rsid w:val="31EA50D5"/>
    <w:rsid w:val="31EE27EE"/>
    <w:rsid w:val="31F91B2E"/>
    <w:rsid w:val="31F964D2"/>
    <w:rsid w:val="320846B6"/>
    <w:rsid w:val="323B5CA2"/>
    <w:rsid w:val="324A2389"/>
    <w:rsid w:val="32625925"/>
    <w:rsid w:val="326571C3"/>
    <w:rsid w:val="32670BD5"/>
    <w:rsid w:val="327068FF"/>
    <w:rsid w:val="32892EB1"/>
    <w:rsid w:val="329E6CD8"/>
    <w:rsid w:val="32A83BE9"/>
    <w:rsid w:val="32AC6BA0"/>
    <w:rsid w:val="32CB34CA"/>
    <w:rsid w:val="33074C5B"/>
    <w:rsid w:val="330E785B"/>
    <w:rsid w:val="33134E71"/>
    <w:rsid w:val="33150BE9"/>
    <w:rsid w:val="3321345F"/>
    <w:rsid w:val="33440753"/>
    <w:rsid w:val="335C2374"/>
    <w:rsid w:val="337551E4"/>
    <w:rsid w:val="33773E42"/>
    <w:rsid w:val="337C0B05"/>
    <w:rsid w:val="3381627F"/>
    <w:rsid w:val="33947D60"/>
    <w:rsid w:val="33E34843"/>
    <w:rsid w:val="344E43B3"/>
    <w:rsid w:val="345179FF"/>
    <w:rsid w:val="346314E0"/>
    <w:rsid w:val="349618B6"/>
    <w:rsid w:val="34A57D4B"/>
    <w:rsid w:val="34AE4E51"/>
    <w:rsid w:val="34CB0B62"/>
    <w:rsid w:val="34E14EA2"/>
    <w:rsid w:val="34E346A0"/>
    <w:rsid w:val="34E72111"/>
    <w:rsid w:val="35062A17"/>
    <w:rsid w:val="350C3926"/>
    <w:rsid w:val="3538471B"/>
    <w:rsid w:val="353C54BF"/>
    <w:rsid w:val="353E4005"/>
    <w:rsid w:val="35494B7A"/>
    <w:rsid w:val="355F439E"/>
    <w:rsid w:val="356B4AF0"/>
    <w:rsid w:val="359758E5"/>
    <w:rsid w:val="359B1151"/>
    <w:rsid w:val="35AD49A2"/>
    <w:rsid w:val="35F03248"/>
    <w:rsid w:val="36150393"/>
    <w:rsid w:val="36172BC3"/>
    <w:rsid w:val="36213401"/>
    <w:rsid w:val="362804CC"/>
    <w:rsid w:val="36415851"/>
    <w:rsid w:val="36501005"/>
    <w:rsid w:val="365B6913"/>
    <w:rsid w:val="36625EF3"/>
    <w:rsid w:val="36CC7C95"/>
    <w:rsid w:val="36D032AB"/>
    <w:rsid w:val="36D641EB"/>
    <w:rsid w:val="36EA20AF"/>
    <w:rsid w:val="36EB650A"/>
    <w:rsid w:val="370E607B"/>
    <w:rsid w:val="37135440"/>
    <w:rsid w:val="371B42F4"/>
    <w:rsid w:val="372413FB"/>
    <w:rsid w:val="375A517F"/>
    <w:rsid w:val="376149D7"/>
    <w:rsid w:val="378133A9"/>
    <w:rsid w:val="37A12A4B"/>
    <w:rsid w:val="37A6339A"/>
    <w:rsid w:val="37AC319E"/>
    <w:rsid w:val="37AF52B8"/>
    <w:rsid w:val="37C52BDE"/>
    <w:rsid w:val="37F92528"/>
    <w:rsid w:val="382E4D8D"/>
    <w:rsid w:val="383A233E"/>
    <w:rsid w:val="384350CA"/>
    <w:rsid w:val="384653A1"/>
    <w:rsid w:val="3857135C"/>
    <w:rsid w:val="388E7474"/>
    <w:rsid w:val="38991974"/>
    <w:rsid w:val="389B008E"/>
    <w:rsid w:val="38B16CBE"/>
    <w:rsid w:val="38C73172"/>
    <w:rsid w:val="38CC0C76"/>
    <w:rsid w:val="38EE1CC0"/>
    <w:rsid w:val="38F80D91"/>
    <w:rsid w:val="39000867"/>
    <w:rsid w:val="39101F1B"/>
    <w:rsid w:val="392D7EB3"/>
    <w:rsid w:val="393618B9"/>
    <w:rsid w:val="394418E0"/>
    <w:rsid w:val="39455658"/>
    <w:rsid w:val="39720FC7"/>
    <w:rsid w:val="398443D3"/>
    <w:rsid w:val="39A13EE2"/>
    <w:rsid w:val="39B203A1"/>
    <w:rsid w:val="39BA4298"/>
    <w:rsid w:val="39C96289"/>
    <w:rsid w:val="39CD52E9"/>
    <w:rsid w:val="39ED2D0E"/>
    <w:rsid w:val="39FC21BB"/>
    <w:rsid w:val="3A0D2A18"/>
    <w:rsid w:val="3A1B59B7"/>
    <w:rsid w:val="3A206BB8"/>
    <w:rsid w:val="3A30175E"/>
    <w:rsid w:val="3A323E2F"/>
    <w:rsid w:val="3A4F678F"/>
    <w:rsid w:val="3A64388F"/>
    <w:rsid w:val="3A804B9A"/>
    <w:rsid w:val="3AC30F2B"/>
    <w:rsid w:val="3AC949DA"/>
    <w:rsid w:val="3AD16F0A"/>
    <w:rsid w:val="3B0B043D"/>
    <w:rsid w:val="3B4E4C98"/>
    <w:rsid w:val="3B606C7C"/>
    <w:rsid w:val="3B6F13E2"/>
    <w:rsid w:val="3B800CEA"/>
    <w:rsid w:val="3B8C194B"/>
    <w:rsid w:val="3B8F6DC0"/>
    <w:rsid w:val="3B9D352A"/>
    <w:rsid w:val="3BB95D3B"/>
    <w:rsid w:val="3BCA6CDA"/>
    <w:rsid w:val="3BDF2457"/>
    <w:rsid w:val="3BE253E0"/>
    <w:rsid w:val="3C2519AA"/>
    <w:rsid w:val="3C357C06"/>
    <w:rsid w:val="3C4D5555"/>
    <w:rsid w:val="3C4E0CC8"/>
    <w:rsid w:val="3C6F3118"/>
    <w:rsid w:val="3C7D5D17"/>
    <w:rsid w:val="3C7E15AD"/>
    <w:rsid w:val="3C835625"/>
    <w:rsid w:val="3CAB7EC8"/>
    <w:rsid w:val="3CD236A7"/>
    <w:rsid w:val="3D0978EC"/>
    <w:rsid w:val="3D23372C"/>
    <w:rsid w:val="3D42082D"/>
    <w:rsid w:val="3D597924"/>
    <w:rsid w:val="3D600CB3"/>
    <w:rsid w:val="3D672041"/>
    <w:rsid w:val="3DA212CB"/>
    <w:rsid w:val="3DEB4A20"/>
    <w:rsid w:val="3DF31B27"/>
    <w:rsid w:val="3DF80C94"/>
    <w:rsid w:val="3DF8538F"/>
    <w:rsid w:val="3E064F5A"/>
    <w:rsid w:val="3E09134A"/>
    <w:rsid w:val="3E161B6B"/>
    <w:rsid w:val="3E32264F"/>
    <w:rsid w:val="3E7F5998"/>
    <w:rsid w:val="3EA11583"/>
    <w:rsid w:val="3EC55271"/>
    <w:rsid w:val="3ECD2378"/>
    <w:rsid w:val="3EF01478"/>
    <w:rsid w:val="3EFE0783"/>
    <w:rsid w:val="3F0056DB"/>
    <w:rsid w:val="3F0670A1"/>
    <w:rsid w:val="3F0F5522"/>
    <w:rsid w:val="3F185CE9"/>
    <w:rsid w:val="3F1A3023"/>
    <w:rsid w:val="3F243A9D"/>
    <w:rsid w:val="3F395C5F"/>
    <w:rsid w:val="3F3B19D7"/>
    <w:rsid w:val="3F5860E5"/>
    <w:rsid w:val="3F9D7F9C"/>
    <w:rsid w:val="3FA70E1B"/>
    <w:rsid w:val="3FA7706D"/>
    <w:rsid w:val="4001677D"/>
    <w:rsid w:val="400C5122"/>
    <w:rsid w:val="40253035"/>
    <w:rsid w:val="40350295"/>
    <w:rsid w:val="403703F1"/>
    <w:rsid w:val="403723ED"/>
    <w:rsid w:val="406E1D8D"/>
    <w:rsid w:val="407056B1"/>
    <w:rsid w:val="409C60BA"/>
    <w:rsid w:val="40C377CE"/>
    <w:rsid w:val="4104239D"/>
    <w:rsid w:val="41401AF8"/>
    <w:rsid w:val="41656898"/>
    <w:rsid w:val="41760AA5"/>
    <w:rsid w:val="41A35612"/>
    <w:rsid w:val="41A5138A"/>
    <w:rsid w:val="41B4781F"/>
    <w:rsid w:val="41BB6E00"/>
    <w:rsid w:val="41F8595E"/>
    <w:rsid w:val="42053C57"/>
    <w:rsid w:val="42214BD9"/>
    <w:rsid w:val="42246753"/>
    <w:rsid w:val="42324DFA"/>
    <w:rsid w:val="424961B9"/>
    <w:rsid w:val="425F3C2F"/>
    <w:rsid w:val="427C658F"/>
    <w:rsid w:val="42984A4B"/>
    <w:rsid w:val="42E4524A"/>
    <w:rsid w:val="431353F3"/>
    <w:rsid w:val="4315253F"/>
    <w:rsid w:val="432B58BF"/>
    <w:rsid w:val="43332EF2"/>
    <w:rsid w:val="43397FDC"/>
    <w:rsid w:val="43455446"/>
    <w:rsid w:val="436F4174"/>
    <w:rsid w:val="43762FDE"/>
    <w:rsid w:val="43AC4C52"/>
    <w:rsid w:val="43B21B3C"/>
    <w:rsid w:val="43B27D8E"/>
    <w:rsid w:val="43B92ECB"/>
    <w:rsid w:val="43BF62B5"/>
    <w:rsid w:val="43DE0DC5"/>
    <w:rsid w:val="43E77A38"/>
    <w:rsid w:val="44A122DD"/>
    <w:rsid w:val="44DA072F"/>
    <w:rsid w:val="44DE20BF"/>
    <w:rsid w:val="44DF1057"/>
    <w:rsid w:val="45321187"/>
    <w:rsid w:val="454D0F8E"/>
    <w:rsid w:val="456C2437"/>
    <w:rsid w:val="456F5F37"/>
    <w:rsid w:val="45717F01"/>
    <w:rsid w:val="45B55914"/>
    <w:rsid w:val="45D73ADC"/>
    <w:rsid w:val="45E05087"/>
    <w:rsid w:val="45ED3300"/>
    <w:rsid w:val="45F61C6A"/>
    <w:rsid w:val="45FC0A54"/>
    <w:rsid w:val="45FE572D"/>
    <w:rsid w:val="460C19D8"/>
    <w:rsid w:val="461D469A"/>
    <w:rsid w:val="462A602B"/>
    <w:rsid w:val="466976E6"/>
    <w:rsid w:val="46B8390E"/>
    <w:rsid w:val="46CD0E89"/>
    <w:rsid w:val="46DD0C7A"/>
    <w:rsid w:val="46EA0CE7"/>
    <w:rsid w:val="46F506BE"/>
    <w:rsid w:val="47022DDB"/>
    <w:rsid w:val="470D4256"/>
    <w:rsid w:val="472208AE"/>
    <w:rsid w:val="47271A40"/>
    <w:rsid w:val="47704C41"/>
    <w:rsid w:val="477A53A8"/>
    <w:rsid w:val="478B4B7E"/>
    <w:rsid w:val="479A2435"/>
    <w:rsid w:val="47B925F3"/>
    <w:rsid w:val="480E0FF0"/>
    <w:rsid w:val="480F755D"/>
    <w:rsid w:val="481E59F2"/>
    <w:rsid w:val="4870619C"/>
    <w:rsid w:val="488A12DA"/>
    <w:rsid w:val="48910AEC"/>
    <w:rsid w:val="48B3170D"/>
    <w:rsid w:val="48B87BF5"/>
    <w:rsid w:val="48C26CC5"/>
    <w:rsid w:val="48C52312"/>
    <w:rsid w:val="48CC18F2"/>
    <w:rsid w:val="49180694"/>
    <w:rsid w:val="493C7DE9"/>
    <w:rsid w:val="4942492D"/>
    <w:rsid w:val="49724248"/>
    <w:rsid w:val="49731D6E"/>
    <w:rsid w:val="49864801"/>
    <w:rsid w:val="49885819"/>
    <w:rsid w:val="49A10689"/>
    <w:rsid w:val="49AE0344"/>
    <w:rsid w:val="49BD5661"/>
    <w:rsid w:val="49DD5ACD"/>
    <w:rsid w:val="49FE0702"/>
    <w:rsid w:val="4A0C644A"/>
    <w:rsid w:val="4A1E13B4"/>
    <w:rsid w:val="4A1E7F2C"/>
    <w:rsid w:val="4A2C49B0"/>
    <w:rsid w:val="4A555101"/>
    <w:rsid w:val="4A7D1B0F"/>
    <w:rsid w:val="4A7E1328"/>
    <w:rsid w:val="4A876DFD"/>
    <w:rsid w:val="4A8835F7"/>
    <w:rsid w:val="4A9B157C"/>
    <w:rsid w:val="4AA3517B"/>
    <w:rsid w:val="4AAC50D1"/>
    <w:rsid w:val="4AD13FBE"/>
    <w:rsid w:val="4AD66A58"/>
    <w:rsid w:val="4AFA44F5"/>
    <w:rsid w:val="4AFB026D"/>
    <w:rsid w:val="4B062C02"/>
    <w:rsid w:val="4B1650A7"/>
    <w:rsid w:val="4B3425E6"/>
    <w:rsid w:val="4B4A1C1E"/>
    <w:rsid w:val="4B5D2903"/>
    <w:rsid w:val="4B675475"/>
    <w:rsid w:val="4B906C07"/>
    <w:rsid w:val="4BB02E05"/>
    <w:rsid w:val="4BD44D46"/>
    <w:rsid w:val="4BE83DFC"/>
    <w:rsid w:val="4BF45ECE"/>
    <w:rsid w:val="4C0B03D0"/>
    <w:rsid w:val="4C0F2222"/>
    <w:rsid w:val="4C5A2B74"/>
    <w:rsid w:val="4C7958ED"/>
    <w:rsid w:val="4CAA019C"/>
    <w:rsid w:val="4CBB7CB4"/>
    <w:rsid w:val="4D2D20D9"/>
    <w:rsid w:val="4D436182"/>
    <w:rsid w:val="4D45598D"/>
    <w:rsid w:val="4D502AF2"/>
    <w:rsid w:val="4D753851"/>
    <w:rsid w:val="4DA074F7"/>
    <w:rsid w:val="4DA33F07"/>
    <w:rsid w:val="4DB210B7"/>
    <w:rsid w:val="4DCB2178"/>
    <w:rsid w:val="4DCD5EF0"/>
    <w:rsid w:val="4DD126F1"/>
    <w:rsid w:val="4DD3727F"/>
    <w:rsid w:val="4DD54DA5"/>
    <w:rsid w:val="4DDA060D"/>
    <w:rsid w:val="4DDE52C0"/>
    <w:rsid w:val="4DF80A94"/>
    <w:rsid w:val="4E01203E"/>
    <w:rsid w:val="4E086E18"/>
    <w:rsid w:val="4E1C0C26"/>
    <w:rsid w:val="4E263853"/>
    <w:rsid w:val="4E6600F3"/>
    <w:rsid w:val="4E6A7057"/>
    <w:rsid w:val="4EAA7FE0"/>
    <w:rsid w:val="4EC57FBF"/>
    <w:rsid w:val="4ECC7F56"/>
    <w:rsid w:val="4F0A1774"/>
    <w:rsid w:val="4F44601A"/>
    <w:rsid w:val="4F4F2935"/>
    <w:rsid w:val="4F771D84"/>
    <w:rsid w:val="4F820F5D"/>
    <w:rsid w:val="4F8E345D"/>
    <w:rsid w:val="4FAB2261"/>
    <w:rsid w:val="4FB05ACA"/>
    <w:rsid w:val="4FF14CDB"/>
    <w:rsid w:val="50243DC2"/>
    <w:rsid w:val="502D711A"/>
    <w:rsid w:val="506348EA"/>
    <w:rsid w:val="5080549C"/>
    <w:rsid w:val="50A1397F"/>
    <w:rsid w:val="50D81F5E"/>
    <w:rsid w:val="50EC0741"/>
    <w:rsid w:val="50F32112"/>
    <w:rsid w:val="510D4856"/>
    <w:rsid w:val="51257DF2"/>
    <w:rsid w:val="51401959"/>
    <w:rsid w:val="51581F75"/>
    <w:rsid w:val="51583D23"/>
    <w:rsid w:val="5176064D"/>
    <w:rsid w:val="51874608"/>
    <w:rsid w:val="51C75DFE"/>
    <w:rsid w:val="51F24178"/>
    <w:rsid w:val="5208399B"/>
    <w:rsid w:val="52171E30"/>
    <w:rsid w:val="52291B63"/>
    <w:rsid w:val="52350508"/>
    <w:rsid w:val="52424793"/>
    <w:rsid w:val="52741FCB"/>
    <w:rsid w:val="527E1EAF"/>
    <w:rsid w:val="5299239F"/>
    <w:rsid w:val="52A01E26"/>
    <w:rsid w:val="52B15DE1"/>
    <w:rsid w:val="52CB49C9"/>
    <w:rsid w:val="52D06B10"/>
    <w:rsid w:val="52EE38DF"/>
    <w:rsid w:val="53165C44"/>
    <w:rsid w:val="532F4F57"/>
    <w:rsid w:val="534D3630"/>
    <w:rsid w:val="53536515"/>
    <w:rsid w:val="5358785F"/>
    <w:rsid w:val="53620E89"/>
    <w:rsid w:val="53656BCB"/>
    <w:rsid w:val="53697013"/>
    <w:rsid w:val="536B21BA"/>
    <w:rsid w:val="53A862CC"/>
    <w:rsid w:val="53D40A2D"/>
    <w:rsid w:val="542A0FDA"/>
    <w:rsid w:val="542B207D"/>
    <w:rsid w:val="542C1497"/>
    <w:rsid w:val="54776BB6"/>
    <w:rsid w:val="547A6F15"/>
    <w:rsid w:val="54A12DC7"/>
    <w:rsid w:val="54AB4AB2"/>
    <w:rsid w:val="54BA4CF5"/>
    <w:rsid w:val="54CB6F02"/>
    <w:rsid w:val="54CE1930"/>
    <w:rsid w:val="54D062C6"/>
    <w:rsid w:val="54E029AD"/>
    <w:rsid w:val="54E3424B"/>
    <w:rsid w:val="54ED53D0"/>
    <w:rsid w:val="54FB1595"/>
    <w:rsid w:val="55091CCC"/>
    <w:rsid w:val="55197C6D"/>
    <w:rsid w:val="5549554B"/>
    <w:rsid w:val="5563713A"/>
    <w:rsid w:val="556C4241"/>
    <w:rsid w:val="558620D2"/>
    <w:rsid w:val="55A559A5"/>
    <w:rsid w:val="55BD4A9D"/>
    <w:rsid w:val="55BE25C3"/>
    <w:rsid w:val="55C776C9"/>
    <w:rsid w:val="55D02A22"/>
    <w:rsid w:val="55DF2C65"/>
    <w:rsid w:val="55E34225"/>
    <w:rsid w:val="55FE4D09"/>
    <w:rsid w:val="562E599A"/>
    <w:rsid w:val="56307253"/>
    <w:rsid w:val="56382375"/>
    <w:rsid w:val="56453199"/>
    <w:rsid w:val="566B44F9"/>
    <w:rsid w:val="56705FB3"/>
    <w:rsid w:val="567E247E"/>
    <w:rsid w:val="56903F5F"/>
    <w:rsid w:val="56B21118"/>
    <w:rsid w:val="56D46542"/>
    <w:rsid w:val="56E16569"/>
    <w:rsid w:val="56F24C1A"/>
    <w:rsid w:val="56F52014"/>
    <w:rsid w:val="570A5ABF"/>
    <w:rsid w:val="570C5CDB"/>
    <w:rsid w:val="572528F9"/>
    <w:rsid w:val="57723665"/>
    <w:rsid w:val="578C5187"/>
    <w:rsid w:val="57947A7F"/>
    <w:rsid w:val="57B2722D"/>
    <w:rsid w:val="57D56221"/>
    <w:rsid w:val="57F14ED1"/>
    <w:rsid w:val="57FB365A"/>
    <w:rsid w:val="582726A1"/>
    <w:rsid w:val="582F6DAB"/>
    <w:rsid w:val="584119B5"/>
    <w:rsid w:val="58782BD5"/>
    <w:rsid w:val="58AD45AF"/>
    <w:rsid w:val="58BF28DA"/>
    <w:rsid w:val="58C16652"/>
    <w:rsid w:val="58D4718C"/>
    <w:rsid w:val="59034EBC"/>
    <w:rsid w:val="59154BEF"/>
    <w:rsid w:val="59162E41"/>
    <w:rsid w:val="591C5F7E"/>
    <w:rsid w:val="591C7D2C"/>
    <w:rsid w:val="59480B21"/>
    <w:rsid w:val="59524F99"/>
    <w:rsid w:val="59575208"/>
    <w:rsid w:val="59576FB6"/>
    <w:rsid w:val="597C6A1D"/>
    <w:rsid w:val="599B3347"/>
    <w:rsid w:val="59A53FC9"/>
    <w:rsid w:val="59A82CA5"/>
    <w:rsid w:val="59AC10B0"/>
    <w:rsid w:val="5A1D1FAE"/>
    <w:rsid w:val="5A221372"/>
    <w:rsid w:val="5A290775"/>
    <w:rsid w:val="5A364E1D"/>
    <w:rsid w:val="5A45201E"/>
    <w:rsid w:val="5A455061"/>
    <w:rsid w:val="5A6776CD"/>
    <w:rsid w:val="5AD20FEA"/>
    <w:rsid w:val="5AD536B4"/>
    <w:rsid w:val="5ADF7263"/>
    <w:rsid w:val="5AE42ACB"/>
    <w:rsid w:val="5AEA4CCC"/>
    <w:rsid w:val="5B031B11"/>
    <w:rsid w:val="5B184523"/>
    <w:rsid w:val="5B1A029B"/>
    <w:rsid w:val="5B3E21DC"/>
    <w:rsid w:val="5B44356A"/>
    <w:rsid w:val="5B562681"/>
    <w:rsid w:val="5B72058D"/>
    <w:rsid w:val="5B7B3430"/>
    <w:rsid w:val="5B841BB9"/>
    <w:rsid w:val="5B85620A"/>
    <w:rsid w:val="5B96574B"/>
    <w:rsid w:val="5B9E391C"/>
    <w:rsid w:val="5BD3501A"/>
    <w:rsid w:val="5BD448EE"/>
    <w:rsid w:val="5BE81608"/>
    <w:rsid w:val="5C10686F"/>
    <w:rsid w:val="5C2515ED"/>
    <w:rsid w:val="5C384E7D"/>
    <w:rsid w:val="5C390BF5"/>
    <w:rsid w:val="5C3D6937"/>
    <w:rsid w:val="5C5A652B"/>
    <w:rsid w:val="5C6C4B26"/>
    <w:rsid w:val="5C7D6F84"/>
    <w:rsid w:val="5C841E70"/>
    <w:rsid w:val="5C856D50"/>
    <w:rsid w:val="5C8C6F1F"/>
    <w:rsid w:val="5CBF734C"/>
    <w:rsid w:val="5CD03307"/>
    <w:rsid w:val="5CE53377"/>
    <w:rsid w:val="5CE565AC"/>
    <w:rsid w:val="5D272DE0"/>
    <w:rsid w:val="5D290C69"/>
    <w:rsid w:val="5D5F230E"/>
    <w:rsid w:val="5D77631A"/>
    <w:rsid w:val="5DB449D7"/>
    <w:rsid w:val="5DCB3ACF"/>
    <w:rsid w:val="5DD07337"/>
    <w:rsid w:val="5DE138D8"/>
    <w:rsid w:val="5DEA73A2"/>
    <w:rsid w:val="5DEE0041"/>
    <w:rsid w:val="5E113BD7"/>
    <w:rsid w:val="5E1452DD"/>
    <w:rsid w:val="5E1921ED"/>
    <w:rsid w:val="5E1B11FF"/>
    <w:rsid w:val="5E341674"/>
    <w:rsid w:val="5E364A80"/>
    <w:rsid w:val="5E463A23"/>
    <w:rsid w:val="5E5D6E1D"/>
    <w:rsid w:val="5E9F5687"/>
    <w:rsid w:val="5EB822A5"/>
    <w:rsid w:val="5EEC49B6"/>
    <w:rsid w:val="5EFE7A06"/>
    <w:rsid w:val="5F1F2324"/>
    <w:rsid w:val="5F274809"/>
    <w:rsid w:val="5F426012"/>
    <w:rsid w:val="5F7D5E8E"/>
    <w:rsid w:val="5F7F522A"/>
    <w:rsid w:val="5F824661"/>
    <w:rsid w:val="5FAF36A8"/>
    <w:rsid w:val="5FC058B5"/>
    <w:rsid w:val="5FF3732F"/>
    <w:rsid w:val="60073DD3"/>
    <w:rsid w:val="60123C37"/>
    <w:rsid w:val="601337BB"/>
    <w:rsid w:val="603040BD"/>
    <w:rsid w:val="603718EF"/>
    <w:rsid w:val="604A33D1"/>
    <w:rsid w:val="606A75CF"/>
    <w:rsid w:val="60F65306"/>
    <w:rsid w:val="61135EB8"/>
    <w:rsid w:val="61137C66"/>
    <w:rsid w:val="61215AAC"/>
    <w:rsid w:val="61384047"/>
    <w:rsid w:val="6142054C"/>
    <w:rsid w:val="614E6EF1"/>
    <w:rsid w:val="614F54B5"/>
    <w:rsid w:val="61504A17"/>
    <w:rsid w:val="616537A9"/>
    <w:rsid w:val="61954B1F"/>
    <w:rsid w:val="61AE5BE1"/>
    <w:rsid w:val="61AF6787"/>
    <w:rsid w:val="61E67129"/>
    <w:rsid w:val="621041A6"/>
    <w:rsid w:val="62426A55"/>
    <w:rsid w:val="624274A0"/>
    <w:rsid w:val="624A76B8"/>
    <w:rsid w:val="629551D8"/>
    <w:rsid w:val="62A87E16"/>
    <w:rsid w:val="62CA561A"/>
    <w:rsid w:val="62CD2097"/>
    <w:rsid w:val="62E775FD"/>
    <w:rsid w:val="6313315F"/>
    <w:rsid w:val="63464323"/>
    <w:rsid w:val="6384309D"/>
    <w:rsid w:val="63C752EB"/>
    <w:rsid w:val="63CD6C1F"/>
    <w:rsid w:val="63D731CD"/>
    <w:rsid w:val="63F27828"/>
    <w:rsid w:val="63FF44D2"/>
    <w:rsid w:val="642B176B"/>
    <w:rsid w:val="64405216"/>
    <w:rsid w:val="645C0E1F"/>
    <w:rsid w:val="648D1ADE"/>
    <w:rsid w:val="64A56430"/>
    <w:rsid w:val="64AA193A"/>
    <w:rsid w:val="64BE438D"/>
    <w:rsid w:val="64CD45D0"/>
    <w:rsid w:val="64E060B2"/>
    <w:rsid w:val="65110961"/>
    <w:rsid w:val="65131794"/>
    <w:rsid w:val="65222B6E"/>
    <w:rsid w:val="653F59A1"/>
    <w:rsid w:val="653F727C"/>
    <w:rsid w:val="65774F85"/>
    <w:rsid w:val="65815AE7"/>
    <w:rsid w:val="658B24C1"/>
    <w:rsid w:val="658D1CF4"/>
    <w:rsid w:val="65B81F72"/>
    <w:rsid w:val="65BB2793"/>
    <w:rsid w:val="65D5373C"/>
    <w:rsid w:val="65E72A9D"/>
    <w:rsid w:val="65FD3357"/>
    <w:rsid w:val="663568D1"/>
    <w:rsid w:val="6646288C"/>
    <w:rsid w:val="66630D48"/>
    <w:rsid w:val="66652D12"/>
    <w:rsid w:val="66683788"/>
    <w:rsid w:val="667016B7"/>
    <w:rsid w:val="667027CF"/>
    <w:rsid w:val="6688694C"/>
    <w:rsid w:val="66B27F22"/>
    <w:rsid w:val="66B5531C"/>
    <w:rsid w:val="66D02156"/>
    <w:rsid w:val="66FB3677"/>
    <w:rsid w:val="66FF2BF6"/>
    <w:rsid w:val="6716225F"/>
    <w:rsid w:val="672A5D0A"/>
    <w:rsid w:val="674520EC"/>
    <w:rsid w:val="67647DB1"/>
    <w:rsid w:val="67D53EC8"/>
    <w:rsid w:val="67D85766"/>
    <w:rsid w:val="67EC1211"/>
    <w:rsid w:val="67EE7E32"/>
    <w:rsid w:val="68065795"/>
    <w:rsid w:val="68152516"/>
    <w:rsid w:val="681D761D"/>
    <w:rsid w:val="68232E85"/>
    <w:rsid w:val="68245589"/>
    <w:rsid w:val="682D3D04"/>
    <w:rsid w:val="68660FC4"/>
    <w:rsid w:val="686E1C26"/>
    <w:rsid w:val="68751207"/>
    <w:rsid w:val="68777DD2"/>
    <w:rsid w:val="687A4A6F"/>
    <w:rsid w:val="687C52FC"/>
    <w:rsid w:val="689E42BA"/>
    <w:rsid w:val="68BC0BE4"/>
    <w:rsid w:val="68D45F2D"/>
    <w:rsid w:val="68D91796"/>
    <w:rsid w:val="68EC771B"/>
    <w:rsid w:val="68FB170C"/>
    <w:rsid w:val="690E1BE8"/>
    <w:rsid w:val="691463AB"/>
    <w:rsid w:val="692235A5"/>
    <w:rsid w:val="692755DB"/>
    <w:rsid w:val="692D1AE1"/>
    <w:rsid w:val="692E7D33"/>
    <w:rsid w:val="69362DD6"/>
    <w:rsid w:val="693C2619"/>
    <w:rsid w:val="696C260A"/>
    <w:rsid w:val="697F058F"/>
    <w:rsid w:val="69983CE0"/>
    <w:rsid w:val="6A001D16"/>
    <w:rsid w:val="6A042842"/>
    <w:rsid w:val="6A1C1694"/>
    <w:rsid w:val="6A1C4896"/>
    <w:rsid w:val="6A4315BC"/>
    <w:rsid w:val="6A751DB0"/>
    <w:rsid w:val="6A9736B6"/>
    <w:rsid w:val="6AAF0230"/>
    <w:rsid w:val="6AB53B3C"/>
    <w:rsid w:val="6AB95533"/>
    <w:rsid w:val="6AC16985"/>
    <w:rsid w:val="6AC5495F"/>
    <w:rsid w:val="6ADC67EC"/>
    <w:rsid w:val="6AE21FF0"/>
    <w:rsid w:val="6B037E0E"/>
    <w:rsid w:val="6B1349A9"/>
    <w:rsid w:val="6B144E28"/>
    <w:rsid w:val="6B2018FE"/>
    <w:rsid w:val="6B396B3B"/>
    <w:rsid w:val="6B735ED1"/>
    <w:rsid w:val="6B7E6624"/>
    <w:rsid w:val="6BC80F6B"/>
    <w:rsid w:val="6BDE41BB"/>
    <w:rsid w:val="6BE9361A"/>
    <w:rsid w:val="6BEE7306"/>
    <w:rsid w:val="6C313697"/>
    <w:rsid w:val="6C382C77"/>
    <w:rsid w:val="6C3F4006"/>
    <w:rsid w:val="6C44786E"/>
    <w:rsid w:val="6C517895"/>
    <w:rsid w:val="6C5462A8"/>
    <w:rsid w:val="6C917FD7"/>
    <w:rsid w:val="6CA87DFD"/>
    <w:rsid w:val="6CE10C19"/>
    <w:rsid w:val="6CFA7F2C"/>
    <w:rsid w:val="6D54763D"/>
    <w:rsid w:val="6D794D39"/>
    <w:rsid w:val="6D911E54"/>
    <w:rsid w:val="6D9E4D5C"/>
    <w:rsid w:val="6DA11374"/>
    <w:rsid w:val="6DAA1953"/>
    <w:rsid w:val="6DAC56CB"/>
    <w:rsid w:val="6DB2091A"/>
    <w:rsid w:val="6DB36A59"/>
    <w:rsid w:val="6DCC3677"/>
    <w:rsid w:val="6DD24A05"/>
    <w:rsid w:val="6DF36E56"/>
    <w:rsid w:val="6E0E0133"/>
    <w:rsid w:val="6E192634"/>
    <w:rsid w:val="6E1D0376"/>
    <w:rsid w:val="6E470176"/>
    <w:rsid w:val="6E4E4A35"/>
    <w:rsid w:val="6EAA68BE"/>
    <w:rsid w:val="6ED924EF"/>
    <w:rsid w:val="6EDB46DC"/>
    <w:rsid w:val="6EFC6F14"/>
    <w:rsid w:val="6F0155A2"/>
    <w:rsid w:val="6F7F5C40"/>
    <w:rsid w:val="6F997ED1"/>
    <w:rsid w:val="6FCC795E"/>
    <w:rsid w:val="6FF62C2D"/>
    <w:rsid w:val="700370F8"/>
    <w:rsid w:val="70741DA4"/>
    <w:rsid w:val="708244C1"/>
    <w:rsid w:val="709D754D"/>
    <w:rsid w:val="70C312DB"/>
    <w:rsid w:val="70C57A65"/>
    <w:rsid w:val="70D65056"/>
    <w:rsid w:val="70F839F0"/>
    <w:rsid w:val="70FA04FB"/>
    <w:rsid w:val="712D08D1"/>
    <w:rsid w:val="71382C2B"/>
    <w:rsid w:val="71426BBB"/>
    <w:rsid w:val="719E5FC3"/>
    <w:rsid w:val="71BB7860"/>
    <w:rsid w:val="71D92FDA"/>
    <w:rsid w:val="71E60A7F"/>
    <w:rsid w:val="71EE1406"/>
    <w:rsid w:val="722F17E6"/>
    <w:rsid w:val="7231619E"/>
    <w:rsid w:val="72440385"/>
    <w:rsid w:val="72850298"/>
    <w:rsid w:val="72874010"/>
    <w:rsid w:val="72B172DF"/>
    <w:rsid w:val="72C963D7"/>
    <w:rsid w:val="72D134DE"/>
    <w:rsid w:val="72D54D7C"/>
    <w:rsid w:val="72F64258"/>
    <w:rsid w:val="733631D1"/>
    <w:rsid w:val="73593BFF"/>
    <w:rsid w:val="7366631C"/>
    <w:rsid w:val="736C3AED"/>
    <w:rsid w:val="73722F12"/>
    <w:rsid w:val="73761484"/>
    <w:rsid w:val="737A1EC4"/>
    <w:rsid w:val="73B452D9"/>
    <w:rsid w:val="73C24D00"/>
    <w:rsid w:val="73C80D84"/>
    <w:rsid w:val="73C85B40"/>
    <w:rsid w:val="73DE4104"/>
    <w:rsid w:val="740C6EC3"/>
    <w:rsid w:val="743F3C99"/>
    <w:rsid w:val="74620891"/>
    <w:rsid w:val="74835482"/>
    <w:rsid w:val="74877DC7"/>
    <w:rsid w:val="748F53FE"/>
    <w:rsid w:val="749E5641"/>
    <w:rsid w:val="74C07CAE"/>
    <w:rsid w:val="74D114FA"/>
    <w:rsid w:val="74EB6FEC"/>
    <w:rsid w:val="74F80974"/>
    <w:rsid w:val="74FF2584"/>
    <w:rsid w:val="75090455"/>
    <w:rsid w:val="7520560E"/>
    <w:rsid w:val="75314F4A"/>
    <w:rsid w:val="755D37B2"/>
    <w:rsid w:val="758807CB"/>
    <w:rsid w:val="75890D8F"/>
    <w:rsid w:val="75AF3FAA"/>
    <w:rsid w:val="75B043EA"/>
    <w:rsid w:val="75B25848"/>
    <w:rsid w:val="75B4336E"/>
    <w:rsid w:val="75EF084A"/>
    <w:rsid w:val="76361FD5"/>
    <w:rsid w:val="76473B19"/>
    <w:rsid w:val="765406AD"/>
    <w:rsid w:val="768F7938"/>
    <w:rsid w:val="7696270D"/>
    <w:rsid w:val="76AF3B36"/>
    <w:rsid w:val="76B80876"/>
    <w:rsid w:val="76B949B4"/>
    <w:rsid w:val="76C07AF1"/>
    <w:rsid w:val="76CE66B2"/>
    <w:rsid w:val="76D90F68"/>
    <w:rsid w:val="770B16B4"/>
    <w:rsid w:val="773724A9"/>
    <w:rsid w:val="775A1CF3"/>
    <w:rsid w:val="77644920"/>
    <w:rsid w:val="77680E8A"/>
    <w:rsid w:val="777A3593"/>
    <w:rsid w:val="77C1540B"/>
    <w:rsid w:val="77D47CF8"/>
    <w:rsid w:val="77D61377"/>
    <w:rsid w:val="77D73344"/>
    <w:rsid w:val="77DD1CAC"/>
    <w:rsid w:val="77EC2A14"/>
    <w:rsid w:val="783E7320"/>
    <w:rsid w:val="78425A99"/>
    <w:rsid w:val="788039DC"/>
    <w:rsid w:val="78952D76"/>
    <w:rsid w:val="78A64529"/>
    <w:rsid w:val="78C31B1A"/>
    <w:rsid w:val="78C55892"/>
    <w:rsid w:val="78C57641"/>
    <w:rsid w:val="78CB19C0"/>
    <w:rsid w:val="78DD2BDC"/>
    <w:rsid w:val="78E67C28"/>
    <w:rsid w:val="78EE303B"/>
    <w:rsid w:val="78F21086"/>
    <w:rsid w:val="78F35EFE"/>
    <w:rsid w:val="78FF5669"/>
    <w:rsid w:val="790A7749"/>
    <w:rsid w:val="79224A93"/>
    <w:rsid w:val="792A1B99"/>
    <w:rsid w:val="793275BA"/>
    <w:rsid w:val="794B223C"/>
    <w:rsid w:val="79780B57"/>
    <w:rsid w:val="798968C0"/>
    <w:rsid w:val="79A724F1"/>
    <w:rsid w:val="79AD6A52"/>
    <w:rsid w:val="79C36276"/>
    <w:rsid w:val="79CC1922"/>
    <w:rsid w:val="79F44681"/>
    <w:rsid w:val="79FA156C"/>
    <w:rsid w:val="79FD047F"/>
    <w:rsid w:val="79FE105C"/>
    <w:rsid w:val="7A252A8D"/>
    <w:rsid w:val="7A2C2BCE"/>
    <w:rsid w:val="7A4B7878"/>
    <w:rsid w:val="7A6115EB"/>
    <w:rsid w:val="7A6D100D"/>
    <w:rsid w:val="7A7820D8"/>
    <w:rsid w:val="7A7B26AD"/>
    <w:rsid w:val="7A813FB4"/>
    <w:rsid w:val="7A953ACC"/>
    <w:rsid w:val="7AA15E8B"/>
    <w:rsid w:val="7AA634A2"/>
    <w:rsid w:val="7ABF2249"/>
    <w:rsid w:val="7AF67F85"/>
    <w:rsid w:val="7B160627"/>
    <w:rsid w:val="7B3B008E"/>
    <w:rsid w:val="7B533629"/>
    <w:rsid w:val="7B5D0004"/>
    <w:rsid w:val="7B641393"/>
    <w:rsid w:val="7BDA69BE"/>
    <w:rsid w:val="7BE14791"/>
    <w:rsid w:val="7C0D37D8"/>
    <w:rsid w:val="7C1D1542"/>
    <w:rsid w:val="7C3A0345"/>
    <w:rsid w:val="7C3A7485"/>
    <w:rsid w:val="7C492337"/>
    <w:rsid w:val="7C5F16F8"/>
    <w:rsid w:val="7C75312C"/>
    <w:rsid w:val="7C9D3E10"/>
    <w:rsid w:val="7CAF2E48"/>
    <w:rsid w:val="7CB122FF"/>
    <w:rsid w:val="7CB2612E"/>
    <w:rsid w:val="7CCD11BA"/>
    <w:rsid w:val="7CD347C3"/>
    <w:rsid w:val="7CD95DB0"/>
    <w:rsid w:val="7D1E37C3"/>
    <w:rsid w:val="7D3D2286"/>
    <w:rsid w:val="7D697134"/>
    <w:rsid w:val="7D6C09D3"/>
    <w:rsid w:val="7D807FDA"/>
    <w:rsid w:val="7DBA67DE"/>
    <w:rsid w:val="7DE14F1D"/>
    <w:rsid w:val="7DF53ACA"/>
    <w:rsid w:val="7DFB58B2"/>
    <w:rsid w:val="7E182A4F"/>
    <w:rsid w:val="7E2458E7"/>
    <w:rsid w:val="7E723DC7"/>
    <w:rsid w:val="7EA2525B"/>
    <w:rsid w:val="7EC5039A"/>
    <w:rsid w:val="7EE86A11"/>
    <w:rsid w:val="7EF7251E"/>
    <w:rsid w:val="7F0E4C61"/>
    <w:rsid w:val="7F2552DD"/>
    <w:rsid w:val="7F272E03"/>
    <w:rsid w:val="7F356741"/>
    <w:rsid w:val="7F477001"/>
    <w:rsid w:val="7F73429A"/>
    <w:rsid w:val="7F7F4C0B"/>
    <w:rsid w:val="7FBA072D"/>
    <w:rsid w:val="7FD44F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4"/>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Note Heading"/>
    <w:basedOn w:val="1"/>
    <w:next w:val="1"/>
    <w:qFormat/>
    <w:uiPriority w:val="0"/>
    <w:rPr>
      <w:rFonts w:ascii="Verdana" w:hAnsi="Verdana"/>
      <w:szCs w:val="20"/>
    </w:rPr>
  </w:style>
  <w:style w:type="paragraph" w:styleId="6">
    <w:name w:val="annotation text"/>
    <w:basedOn w:val="1"/>
    <w:qFormat/>
    <w:uiPriority w:val="0"/>
    <w:pPr>
      <w:jc w:val="left"/>
    </w:pPr>
  </w:style>
  <w:style w:type="paragraph" w:styleId="7">
    <w:name w:val="Body Text"/>
    <w:basedOn w:val="1"/>
    <w:next w:val="8"/>
    <w:qFormat/>
    <w:uiPriority w:val="0"/>
    <w:rPr>
      <w:rFonts w:ascii="楷体_GB2312" w:hAnsi="Arial" w:eastAsia="楷体_GB2312"/>
      <w:sz w:val="28"/>
      <w:szCs w:val="20"/>
    </w:rPr>
  </w:style>
  <w:style w:type="paragraph" w:customStyle="1" w:styleId="8">
    <w:name w:val="一级条标题"/>
    <w:basedOn w:val="9"/>
    <w:next w:val="10"/>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9">
    <w:name w:val="章标题"/>
    <w:next w:val="1"/>
    <w:qFormat/>
    <w:uiPriority w:val="99"/>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10">
    <w:name w:val="段"/>
    <w:next w:val="1"/>
    <w:qFormat/>
    <w:uiPriority w:val="0"/>
    <w:pPr>
      <w:widowControl w:val="0"/>
      <w:ind w:firstLine="200"/>
      <w:jc w:val="both"/>
    </w:pPr>
    <w:rPr>
      <w:rFonts w:hint="default" w:ascii="宋体" w:hAnsi="宋体" w:eastAsia="宋体" w:cs="宋体"/>
      <w:color w:val="000000"/>
      <w:sz w:val="21"/>
      <w:szCs w:val="21"/>
      <w:lang w:val="en-US" w:eastAsia="zh-CN" w:bidi="ar-SA"/>
    </w:rPr>
  </w:style>
  <w:style w:type="paragraph" w:styleId="11">
    <w:name w:val="Body Text Indent"/>
    <w:basedOn w:val="1"/>
    <w:next w:val="1"/>
    <w:qFormat/>
    <w:uiPriority w:val="0"/>
    <w:pPr>
      <w:spacing w:before="240" w:line="360" w:lineRule="auto"/>
      <w:ind w:firstLine="552"/>
    </w:pPr>
    <w:rPr>
      <w:rFonts w:ascii="宋体" w:hAnsi="宋体"/>
      <w:szCs w:val="20"/>
    </w:rPr>
  </w:style>
  <w:style w:type="paragraph" w:styleId="12">
    <w:name w:val="footer"/>
    <w:basedOn w:val="1"/>
    <w:link w:val="25"/>
    <w:autoRedefine/>
    <w:qFormat/>
    <w:uiPriority w:val="0"/>
    <w:pPr>
      <w:tabs>
        <w:tab w:val="center" w:pos="4153"/>
        <w:tab w:val="right" w:pos="8306"/>
      </w:tabs>
      <w:snapToGrid w:val="0"/>
      <w:jc w:val="left"/>
    </w:pPr>
    <w:rPr>
      <w:sz w:val="18"/>
      <w:szCs w:val="18"/>
    </w:rPr>
  </w:style>
  <w:style w:type="paragraph" w:styleId="13">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spacing w:after="57"/>
    </w:pPr>
  </w:style>
  <w:style w:type="paragraph" w:styleId="15">
    <w:name w:val="Normal (Web)"/>
    <w:basedOn w:val="1"/>
    <w:autoRedefine/>
    <w:qFormat/>
    <w:uiPriority w:val="0"/>
    <w:pPr>
      <w:spacing w:beforeAutospacing="1" w:afterAutospacing="1"/>
      <w:jc w:val="left"/>
    </w:pPr>
    <w:rPr>
      <w:rFonts w:cs="Times New Roman"/>
      <w:kern w:val="0"/>
      <w:sz w:val="24"/>
    </w:rPr>
  </w:style>
  <w:style w:type="paragraph" w:styleId="16">
    <w:name w:val="Title"/>
    <w:basedOn w:val="1"/>
    <w:next w:val="1"/>
    <w:qFormat/>
    <w:uiPriority w:val="0"/>
    <w:pPr>
      <w:spacing w:before="240" w:after="60"/>
      <w:jc w:val="center"/>
      <w:outlineLvl w:val="0"/>
    </w:pPr>
    <w:rPr>
      <w:rFonts w:ascii="Cambria" w:hAnsi="Cambria"/>
      <w:b/>
      <w:bCs/>
      <w:sz w:val="32"/>
      <w:szCs w:val="32"/>
    </w:rPr>
  </w:style>
  <w:style w:type="paragraph" w:styleId="17">
    <w:name w:val="Body Text First Indent"/>
    <w:basedOn w:val="1"/>
    <w:next w:val="1"/>
    <w:qFormat/>
    <w:uiPriority w:val="0"/>
    <w:pPr>
      <w:ind w:firstLine="560"/>
    </w:pPr>
  </w:style>
  <w:style w:type="paragraph" w:styleId="18">
    <w:name w:val="Body Text First Indent 2"/>
    <w:basedOn w:val="11"/>
    <w:qFormat/>
    <w:uiPriority w:val="0"/>
    <w:pPr>
      <w:numPr>
        <w:ilvl w:val="0"/>
        <w:numId w:val="1"/>
      </w:numPr>
      <w:spacing w:before="0" w:after="120" w:line="240" w:lineRule="auto"/>
      <w:ind w:left="420" w:firstLine="420"/>
    </w:pPr>
    <w:rPr>
      <w:rFonts w:ascii="Calibri" w:hAnsi="Calibri"/>
    </w:rPr>
  </w:style>
  <w:style w:type="table" w:styleId="20">
    <w:name w:val="Table Grid"/>
    <w:basedOn w:val="1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Emphasis"/>
    <w:qFormat/>
    <w:uiPriority w:val="0"/>
    <w:rPr>
      <w:i/>
    </w:rPr>
  </w:style>
  <w:style w:type="paragraph" w:customStyle="1" w:styleId="2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4">
    <w:name w:val="页眉 Char"/>
    <w:basedOn w:val="21"/>
    <w:link w:val="13"/>
    <w:autoRedefine/>
    <w:qFormat/>
    <w:uiPriority w:val="0"/>
    <w:rPr>
      <w:rFonts w:asciiTheme="minorHAnsi" w:hAnsiTheme="minorHAnsi" w:eastAsiaTheme="minorEastAsia" w:cstheme="minorBidi"/>
      <w:kern w:val="2"/>
      <w:sz w:val="18"/>
      <w:szCs w:val="18"/>
    </w:rPr>
  </w:style>
  <w:style w:type="character" w:customStyle="1" w:styleId="25">
    <w:name w:val="页脚 Char"/>
    <w:basedOn w:val="21"/>
    <w:link w:val="12"/>
    <w:autoRedefine/>
    <w:qFormat/>
    <w:uiPriority w:val="0"/>
    <w:rPr>
      <w:rFonts w:asciiTheme="minorHAnsi" w:hAnsiTheme="minorHAnsi" w:eastAsiaTheme="minorEastAsia" w:cstheme="minorBidi"/>
      <w:kern w:val="2"/>
      <w:sz w:val="18"/>
      <w:szCs w:val="18"/>
    </w:rPr>
  </w:style>
  <w:style w:type="paragraph" w:customStyle="1" w:styleId="26">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7">
    <w:name w:val="正文首行缩进 21"/>
    <w:basedOn w:val="28"/>
    <w:qFormat/>
    <w:uiPriority w:val="0"/>
    <w:pPr>
      <w:ind w:firstLine="420"/>
    </w:pPr>
  </w:style>
  <w:style w:type="paragraph" w:customStyle="1" w:styleId="28">
    <w:name w:val="正文文本缩进1"/>
    <w:basedOn w:val="1"/>
    <w:qFormat/>
    <w:uiPriority w:val="0"/>
    <w:pPr>
      <w:spacing w:after="120"/>
      <w:ind w:left="420"/>
    </w:pPr>
  </w:style>
  <w:style w:type="paragraph" w:customStyle="1" w:styleId="29">
    <w:name w:val="正文首行缩进1"/>
    <w:basedOn w:val="7"/>
    <w:next w:val="5"/>
    <w:qFormat/>
    <w:uiPriority w:val="99"/>
    <w:pPr>
      <w:spacing w:line="360" w:lineRule="auto"/>
      <w:ind w:firstLine="200"/>
    </w:pPr>
    <w:rPr>
      <w:rFonts w:ascii="仿宋_GB2312" w:hAnsi="Times New Roman" w:eastAsia="仿宋_GB2312"/>
      <w:sz w:val="30"/>
      <w:szCs w:val="30"/>
    </w:rPr>
  </w:style>
  <w:style w:type="paragraph" w:styleId="30">
    <w:name w:val="List Paragraph"/>
    <w:basedOn w:val="1"/>
    <w:qFormat/>
    <w:uiPriority w:val="0"/>
    <w:pPr>
      <w:ind w:firstLine="420"/>
    </w:pPr>
    <w:rPr>
      <w:rFonts w:ascii="Calibri" w:hAnsi="Calibri"/>
      <w:szCs w:val="22"/>
    </w:rPr>
  </w:style>
  <w:style w:type="paragraph" w:customStyle="1" w:styleId="31">
    <w:name w:val="列出段落2"/>
    <w:basedOn w:val="1"/>
    <w:qFormat/>
    <w:uiPriority w:val="0"/>
    <w:pPr>
      <w:ind w:firstLine="420"/>
    </w:pPr>
  </w:style>
  <w:style w:type="paragraph" w:customStyle="1" w:styleId="32">
    <w:name w:val="列出段落3"/>
    <w:basedOn w:val="1"/>
    <w:qFormat/>
    <w:uiPriority w:val="0"/>
    <w:pPr>
      <w:ind w:firstLine="420"/>
    </w:pPr>
    <w:rPr>
      <w:rFonts w:ascii="Calibri" w:hAnsi="Calibri"/>
      <w:szCs w:val="22"/>
    </w:rPr>
  </w:style>
  <w:style w:type="paragraph" w:customStyle="1" w:styleId="33">
    <w:name w:val="p0"/>
    <w:basedOn w:val="1"/>
    <w:qFormat/>
    <w:uiPriority w:val="0"/>
    <w:pPr>
      <w:widowControl/>
    </w:pPr>
    <w:rPr>
      <w:rFonts w:ascii="宋体" w:hAnsi="宋体" w:cs="宋体"/>
      <w:kern w:val="0"/>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77</Pages>
  <Words>30004</Words>
  <Characters>31890</Characters>
  <Lines>173</Lines>
  <Paragraphs>48</Paragraphs>
  <TotalTime>17</TotalTime>
  <ScaleCrop>false</ScaleCrop>
  <LinksUpToDate>false</LinksUpToDate>
  <CharactersWithSpaces>32644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黑屿</cp:lastModifiedBy>
  <cp:lastPrinted>2026-06-05T00:29:00Z</cp:lastPrinted>
  <dcterms:modified xsi:type="dcterms:W3CDTF">2026-06-09T07:01:49Z</dcterms:modified>
  <cp:revision>190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3D926C6D58C84EE29B37375A9A74C0B2_13</vt:lpwstr>
  </property>
  <property fmtid="{D5CDD505-2E9C-101B-9397-08002B2CF9AE}" pid="4" name="KSOTemplateDocerSaveRecord">
    <vt:lpwstr>eyJoZGlkIjoiNDliYjg4NjEwNGY4ZWI4YjYwOGQ0MTE1YTNiZTFiNjciLCJ1c2VySWQiOiI3NTQ1OTE1NjMifQ==</vt:lpwstr>
  </property>
</Properties>
</file>